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89" w:rsidRDefault="001A7134">
      <w:bookmarkStart w:id="0" w:name="_GoBack"/>
      <w:bookmarkEnd w:id="0"/>
      <w:r>
        <w:t>22 listopada 2020</w:t>
      </w:r>
    </w:p>
    <w:p w:rsidR="001A7134" w:rsidRDefault="001A7134" w:rsidP="001A7134">
      <w:pPr>
        <w:pStyle w:val="Akapitzlist"/>
        <w:numPr>
          <w:ilvl w:val="0"/>
          <w:numId w:val="1"/>
        </w:numPr>
      </w:pPr>
      <w:r>
        <w:t>Zasady funkcjonowania gospodarki magazynowej</w:t>
      </w:r>
    </w:p>
    <w:p w:rsidR="001A7134" w:rsidRDefault="001A7134" w:rsidP="001A7134">
      <w:pPr>
        <w:pStyle w:val="Akapitzlist"/>
        <w:numPr>
          <w:ilvl w:val="0"/>
          <w:numId w:val="1"/>
        </w:numPr>
      </w:pPr>
      <w:r>
        <w:t>Dokumenty magazynowe</w:t>
      </w:r>
    </w:p>
    <w:p w:rsidR="001A7134" w:rsidRDefault="001A7134" w:rsidP="001A7134">
      <w:pPr>
        <w:pStyle w:val="Akapitzlist"/>
        <w:numPr>
          <w:ilvl w:val="0"/>
          <w:numId w:val="1"/>
        </w:numPr>
      </w:pPr>
      <w:r>
        <w:t>Sporządzanie dokumentów magazynowych</w:t>
      </w:r>
    </w:p>
    <w:p w:rsidR="001A7134" w:rsidRDefault="001A7134" w:rsidP="001A7134">
      <w:pPr>
        <w:pStyle w:val="Akapitzlist"/>
        <w:numPr>
          <w:ilvl w:val="0"/>
          <w:numId w:val="1"/>
        </w:numPr>
      </w:pPr>
      <w:r>
        <w:t>Zasady magazynowania części i materiałów</w:t>
      </w:r>
    </w:p>
    <w:p w:rsidR="001A7134" w:rsidRDefault="001A7134" w:rsidP="001A7134">
      <w:pPr>
        <w:pStyle w:val="Akapitzlist"/>
        <w:numPr>
          <w:ilvl w:val="0"/>
          <w:numId w:val="1"/>
        </w:numPr>
      </w:pPr>
      <w:r>
        <w:t>Gospodarka odpadami</w:t>
      </w:r>
    </w:p>
    <w:p w:rsidR="00A87B62" w:rsidRDefault="00A87B62" w:rsidP="00A87B6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Każdy serwis musi posiadać magazyn części zamiennych i materiałów. Wielkość magazynu, ilość pozycji magazynowanych zależy od wielu czynników : ilości obsługiwanych samochodów, odległości od hurtowni, możliwości szybkich dostaw... </w:t>
      </w:r>
    </w:p>
    <w:p w:rsidR="00A87B62" w:rsidRPr="00D81F69" w:rsidRDefault="00A87B62" w:rsidP="00A87B6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</w:t>
      </w:r>
      <w:r w:rsidRPr="00D81F69">
        <w:rPr>
          <w:rFonts w:eastAsia="Times New Roman" w:cs="Times New Roman"/>
          <w:sz w:val="24"/>
          <w:szCs w:val="24"/>
          <w:lang w:eastAsia="pl-PL"/>
        </w:rPr>
        <w:t>agazyn musi posiadać pewien stan zapasów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Pr="00D81F69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a</w:t>
      </w:r>
      <w:r w:rsidRPr="00D81F69">
        <w:rPr>
          <w:rFonts w:eastAsia="Times New Roman" w:cs="Times New Roman"/>
          <w:sz w:val="24"/>
          <w:szCs w:val="24"/>
          <w:lang w:eastAsia="pl-PL"/>
        </w:rPr>
        <w:t xml:space="preserve">by sprostać wymaganiom klientów. Jednakże stan </w:t>
      </w:r>
      <w:r>
        <w:rPr>
          <w:rFonts w:eastAsia="Times New Roman" w:cs="Times New Roman"/>
          <w:sz w:val="24"/>
          <w:szCs w:val="24"/>
          <w:lang w:eastAsia="pl-PL"/>
        </w:rPr>
        <w:t xml:space="preserve">ten </w:t>
      </w:r>
      <w:r w:rsidRPr="00D81F69">
        <w:rPr>
          <w:rFonts w:eastAsia="Times New Roman" w:cs="Times New Roman"/>
          <w:sz w:val="24"/>
          <w:szCs w:val="24"/>
          <w:lang w:eastAsia="pl-PL"/>
        </w:rPr>
        <w:t>nie powinien być ani zbyt wysoki, ani zbyt niski. Zbyt wysoki stan zapasów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81F69">
        <w:rPr>
          <w:rFonts w:eastAsia="Times New Roman" w:cs="Times New Roman"/>
          <w:sz w:val="24"/>
          <w:szCs w:val="24"/>
          <w:lang w:eastAsia="pl-PL"/>
        </w:rPr>
        <w:t xml:space="preserve">oznacza </w:t>
      </w:r>
      <w:r>
        <w:rPr>
          <w:rFonts w:eastAsia="Times New Roman" w:cs="Times New Roman"/>
          <w:sz w:val="24"/>
          <w:szCs w:val="24"/>
          <w:lang w:eastAsia="pl-PL"/>
        </w:rPr>
        <w:t xml:space="preserve">bowiem </w:t>
      </w:r>
      <w:r w:rsidRPr="00D81F69">
        <w:rPr>
          <w:rFonts w:eastAsia="Times New Roman" w:cs="Times New Roman"/>
          <w:sz w:val="24"/>
          <w:szCs w:val="24"/>
          <w:lang w:eastAsia="pl-PL"/>
        </w:rPr>
        <w:t>ponoszenie wyższych kosztów magazynowania</w:t>
      </w:r>
      <w:r>
        <w:rPr>
          <w:rFonts w:eastAsia="Times New Roman" w:cs="Times New Roman"/>
          <w:sz w:val="24"/>
          <w:szCs w:val="24"/>
          <w:lang w:eastAsia="pl-PL"/>
        </w:rPr>
        <w:t xml:space="preserve"> i </w:t>
      </w:r>
      <w:r w:rsidRPr="00D81F69">
        <w:rPr>
          <w:rFonts w:eastAsia="Times New Roman" w:cs="Times New Roman"/>
          <w:sz w:val="24"/>
          <w:szCs w:val="24"/>
          <w:lang w:eastAsia="pl-PL"/>
        </w:rPr>
        <w:t xml:space="preserve">zamrożenia środków finansowych oraz zwiększone ryzyko, że zapasy staną się bezużyteczne. Z kolei zbyt niski stan zapasów może prowadzić do niewykorzystania nadarzających się szans sprzedażowych </w:t>
      </w:r>
      <w:r>
        <w:rPr>
          <w:rFonts w:eastAsia="Times New Roman" w:cs="Times New Roman"/>
          <w:sz w:val="24"/>
          <w:szCs w:val="24"/>
          <w:lang w:eastAsia="pl-PL"/>
        </w:rPr>
        <w:t>(</w:t>
      </w:r>
      <w:r w:rsidRPr="00D81F69">
        <w:rPr>
          <w:rFonts w:eastAsia="Times New Roman" w:cs="Times New Roman"/>
          <w:sz w:val="24"/>
          <w:szCs w:val="24"/>
          <w:lang w:eastAsia="pl-PL"/>
        </w:rPr>
        <w:t>sprzedaże stracone</w:t>
      </w:r>
      <w:r>
        <w:rPr>
          <w:rFonts w:eastAsia="Times New Roman" w:cs="Times New Roman"/>
          <w:sz w:val="24"/>
          <w:szCs w:val="24"/>
          <w:lang w:eastAsia="pl-PL"/>
        </w:rPr>
        <w:t>)</w:t>
      </w:r>
      <w:r w:rsidRPr="00D81F69">
        <w:rPr>
          <w:rFonts w:eastAsia="Times New Roman" w:cs="Times New Roman"/>
          <w:sz w:val="24"/>
          <w:szCs w:val="24"/>
          <w:lang w:eastAsia="pl-PL"/>
        </w:rPr>
        <w:t>.</w:t>
      </w:r>
    </w:p>
    <w:p w:rsidR="00A87B62" w:rsidRDefault="00A87B62" w:rsidP="00A87B62">
      <w:pPr>
        <w:pStyle w:val="not4bbtex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Dokumenty magazynowe</w:t>
      </w:r>
    </w:p>
    <w:p w:rsidR="00A87B62" w:rsidRDefault="00A87B62" w:rsidP="00A87B62">
      <w:pPr>
        <w:pStyle w:val="not4bbtext"/>
        <w:rPr>
          <w:rFonts w:asciiTheme="minorHAnsi" w:hAnsiTheme="minorHAnsi"/>
        </w:rPr>
      </w:pPr>
      <w:r>
        <w:rPr>
          <w:rFonts w:asciiTheme="minorHAnsi" w:hAnsiTheme="minorHAnsi"/>
        </w:rPr>
        <w:t>Obrót magazynowy musi być odpowiednio udokumentowany. Żaden towar nie może wejść do magazynu lub z niego wyjść bez dokumentu zawierającego:</w:t>
      </w:r>
    </w:p>
    <w:p w:rsidR="00A87B62" w:rsidRDefault="00A87B62" w:rsidP="00A87B62">
      <w:pPr>
        <w:pStyle w:val="not4bbtex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rodzaj, numer i datę wystawienia (dokumentu);</w:t>
      </w:r>
    </w:p>
    <w:p w:rsidR="00A87B62" w:rsidRDefault="00A87B62" w:rsidP="00A87B62">
      <w:pPr>
        <w:pStyle w:val="not4bbtex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dane wydającego i odbiorcy, a w przypadku dokumentów wewnętrznych także nazwę działu, do którego należy przypisać koszty;</w:t>
      </w:r>
    </w:p>
    <w:p w:rsidR="00A87B62" w:rsidRDefault="00A87B62" w:rsidP="00A87B62">
      <w:pPr>
        <w:pStyle w:val="not4bbtex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numer katalogowy towaru, tj. numer, pod którym dany towar występuje w kartotece w systemie komputerowym magazynu;</w:t>
      </w:r>
    </w:p>
    <w:p w:rsidR="00A87B62" w:rsidRDefault="00A87B62" w:rsidP="00A87B62">
      <w:pPr>
        <w:pStyle w:val="not4bbtex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jednostkę miary, ilość wydaną lub otrzymaną i cenę towaru;</w:t>
      </w:r>
    </w:p>
    <w:p w:rsidR="00A87B62" w:rsidRDefault="00A87B62" w:rsidP="00A87B62">
      <w:pPr>
        <w:pStyle w:val="not4bbtex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czytelne podpisy osób wydającej i odbierającej. </w:t>
      </w:r>
    </w:p>
    <w:p w:rsidR="00A87B62" w:rsidRDefault="00A87B62" w:rsidP="00A87B62">
      <w:pPr>
        <w:pStyle w:val="not4bbtext"/>
        <w:rPr>
          <w:rFonts w:asciiTheme="minorHAnsi" w:hAnsiTheme="minorHAnsi"/>
        </w:rPr>
      </w:pPr>
      <w:r>
        <w:rPr>
          <w:rFonts w:asciiTheme="minorHAnsi" w:hAnsiTheme="minorHAnsi"/>
        </w:rPr>
        <w:t>Wygląd tych dokumentów zależy zazwyczaj od używanego programu magazynowego.</w:t>
      </w:r>
    </w:p>
    <w:p w:rsidR="00A87B62" w:rsidRDefault="00A87B62" w:rsidP="00A87B62">
      <w:pPr>
        <w:pStyle w:val="not4bbtex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Za </w:t>
      </w:r>
      <w:r w:rsidRPr="00D43EAC">
        <w:rPr>
          <w:rFonts w:asciiTheme="minorHAnsi" w:hAnsiTheme="minorHAnsi"/>
          <w:b/>
        </w:rPr>
        <w:t>stan ilościowy i jakościowy magazynu</w:t>
      </w:r>
      <w:r>
        <w:rPr>
          <w:rFonts w:asciiTheme="minorHAnsi" w:hAnsiTheme="minorHAnsi"/>
        </w:rPr>
        <w:t xml:space="preserve"> odpowiadają zatrudnieni w nim pracownicy. Jest to zazwyczaj odpowiedzialność materialna. Oznacza to, że pracownik podpisuje dokument stanowiący integralną część umowy o pracę, który reguluje kwestie pokrywania kosztów ewentualnych niedoborów w magazynie (tzw. umowa o wspólnej odpowiedzialności). Odpowiedzialność może  być dzielona w równym stopniu pomiędzy wszystkich pracowników lub zależeć od zajmowanego przez konkretną osobę</w:t>
      </w:r>
      <w:r w:rsidRPr="00D43EA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stanowiska. </w:t>
      </w:r>
    </w:p>
    <w:p w:rsidR="00A87B62" w:rsidRPr="00B37D3B" w:rsidRDefault="00A87B62" w:rsidP="00A87B62">
      <w:pPr>
        <w:pStyle w:val="not4bbtext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D43EAC">
        <w:rPr>
          <w:rFonts w:asciiTheme="minorHAnsi" w:hAnsiTheme="minorHAnsi"/>
          <w:b/>
        </w:rPr>
        <w:t>Inwentaryzacja</w:t>
      </w:r>
      <w:r w:rsidRPr="00B37D3B">
        <w:rPr>
          <w:rFonts w:asciiTheme="minorHAnsi" w:hAnsiTheme="minorHAnsi"/>
        </w:rPr>
        <w:t xml:space="preserve"> polega na ustaleniu za pomocą spisu z natury stanu wszystkich towarów w magazynie</w:t>
      </w:r>
      <w:r>
        <w:rPr>
          <w:rFonts w:asciiTheme="minorHAnsi" w:hAnsiTheme="minorHAnsi"/>
        </w:rPr>
        <w:t xml:space="preserve"> oraz na </w:t>
      </w:r>
      <w:r w:rsidRPr="00B37D3B">
        <w:rPr>
          <w:rFonts w:asciiTheme="minorHAnsi" w:hAnsiTheme="minorHAnsi"/>
        </w:rPr>
        <w:t>wyjaśnieni</w:t>
      </w:r>
      <w:r>
        <w:rPr>
          <w:rFonts w:asciiTheme="minorHAnsi" w:hAnsiTheme="minorHAnsi"/>
        </w:rPr>
        <w:t>u</w:t>
      </w:r>
      <w:r w:rsidRPr="00B37D3B">
        <w:rPr>
          <w:rFonts w:asciiTheme="minorHAnsi" w:hAnsiTheme="minorHAnsi"/>
        </w:rPr>
        <w:t xml:space="preserve"> różnic pomiędzy stanem stwierdzonym podczas inwentaryzacji (rzeczywistym) a stanem wynikającym z ewidencji księgowej. </w:t>
      </w:r>
      <w:r>
        <w:rPr>
          <w:rFonts w:asciiTheme="minorHAnsi" w:hAnsiTheme="minorHAnsi"/>
        </w:rPr>
        <w:t xml:space="preserve">Celem </w:t>
      </w:r>
      <w:r w:rsidRPr="00B37D3B">
        <w:rPr>
          <w:rFonts w:asciiTheme="minorHAnsi" w:hAnsiTheme="minorHAnsi"/>
        </w:rPr>
        <w:t xml:space="preserve">poprawnie przeprowadzonej inwentaryzacji jest </w:t>
      </w:r>
      <w:r>
        <w:rPr>
          <w:rFonts w:asciiTheme="minorHAnsi" w:hAnsiTheme="minorHAnsi"/>
        </w:rPr>
        <w:t xml:space="preserve">również </w:t>
      </w:r>
      <w:r w:rsidRPr="00B37D3B">
        <w:rPr>
          <w:rFonts w:asciiTheme="minorHAnsi" w:hAnsiTheme="minorHAnsi"/>
        </w:rPr>
        <w:t xml:space="preserve">rozliczenie osób materialnie odpowiedzialnych, kontrola zapasów, ustalenie </w:t>
      </w:r>
      <w:r>
        <w:rPr>
          <w:rFonts w:asciiTheme="minorHAnsi" w:hAnsiTheme="minorHAnsi"/>
        </w:rPr>
        <w:t>ich</w:t>
      </w:r>
      <w:r w:rsidRPr="00B37D3B">
        <w:rPr>
          <w:rFonts w:asciiTheme="minorHAnsi" w:hAnsiTheme="minorHAnsi"/>
        </w:rPr>
        <w:t xml:space="preserve"> faktycznej struktury oraz uzyskanie informacji </w:t>
      </w:r>
      <w:r>
        <w:rPr>
          <w:rFonts w:asciiTheme="minorHAnsi" w:hAnsiTheme="minorHAnsi"/>
        </w:rPr>
        <w:t xml:space="preserve">niezbędnych </w:t>
      </w:r>
      <w:r w:rsidRPr="00B37D3B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>podejmowania</w:t>
      </w:r>
      <w:r w:rsidRPr="00B37D3B">
        <w:rPr>
          <w:rFonts w:asciiTheme="minorHAnsi" w:hAnsiTheme="minorHAnsi"/>
        </w:rPr>
        <w:t xml:space="preserve"> decyzj</w:t>
      </w:r>
      <w:r>
        <w:rPr>
          <w:rFonts w:asciiTheme="minorHAnsi" w:hAnsiTheme="minorHAnsi"/>
        </w:rPr>
        <w:t>i</w:t>
      </w:r>
      <w:r w:rsidRPr="00B37D3B">
        <w:rPr>
          <w:rFonts w:asciiTheme="minorHAnsi" w:hAnsiTheme="minorHAnsi"/>
        </w:rPr>
        <w:t>. </w:t>
      </w:r>
    </w:p>
    <w:p w:rsidR="00A87B62" w:rsidRDefault="00A87B62" w:rsidP="00A87B62">
      <w:pPr>
        <w:pStyle w:val="not4bbtex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  <w:t xml:space="preserve">Podstawowe </w:t>
      </w:r>
      <w:r w:rsidRPr="00D43EAC">
        <w:rPr>
          <w:rFonts w:asciiTheme="minorHAnsi" w:hAnsiTheme="minorHAnsi"/>
          <w:b/>
        </w:rPr>
        <w:t>dokumenty magazynowe</w:t>
      </w:r>
      <w:r>
        <w:rPr>
          <w:rFonts w:asciiTheme="minorHAnsi" w:hAnsiTheme="minorHAnsi"/>
        </w:rPr>
        <w:t xml:space="preserve"> to:</w:t>
      </w:r>
    </w:p>
    <w:p w:rsidR="00A87B62" w:rsidRPr="00FD298A" w:rsidRDefault="00A87B62" w:rsidP="00A87B62">
      <w:pPr>
        <w:pStyle w:val="not4bbtext"/>
        <w:numPr>
          <w:ilvl w:val="0"/>
          <w:numId w:val="3"/>
        </w:numPr>
        <w:rPr>
          <w:rFonts w:asciiTheme="minorHAnsi" w:hAnsiTheme="minorHAnsi"/>
        </w:rPr>
      </w:pPr>
      <w:r w:rsidRPr="00F60B79">
        <w:rPr>
          <w:rFonts w:asciiTheme="minorHAnsi" w:hAnsiTheme="minorHAnsi"/>
          <w:b/>
        </w:rPr>
        <w:t>PZ</w:t>
      </w:r>
      <w:r>
        <w:rPr>
          <w:rFonts w:asciiTheme="minorHAnsi" w:hAnsiTheme="minorHAnsi"/>
        </w:rPr>
        <w:t xml:space="preserve"> – przyjęcie zewnętrzne – dokument </w:t>
      </w:r>
      <w:r w:rsidRPr="005F6483">
        <w:rPr>
          <w:rFonts w:asciiTheme="minorHAnsi" w:eastAsiaTheme="minorHAnsi" w:hAnsiTheme="minorHAnsi" w:cstheme="minorBidi"/>
          <w:lang w:eastAsia="en-US"/>
        </w:rPr>
        <w:t xml:space="preserve">potwierdzający przyjęcie danego </w:t>
      </w:r>
      <w:hyperlink r:id="rId5" w:tooltip="Towar" w:history="1">
        <w:r w:rsidRPr="005F6483">
          <w:rPr>
            <w:rFonts w:asciiTheme="minorHAnsi" w:eastAsiaTheme="minorHAnsi" w:hAnsiTheme="minorHAnsi" w:cstheme="minorBidi"/>
            <w:lang w:eastAsia="en-US"/>
          </w:rPr>
          <w:t>towaru</w:t>
        </w:r>
      </w:hyperlink>
      <w:r w:rsidRPr="005F6483">
        <w:rPr>
          <w:rFonts w:asciiTheme="minorHAnsi" w:eastAsiaTheme="minorHAnsi" w:hAnsiTheme="minorHAnsi" w:cstheme="minorBidi"/>
          <w:lang w:eastAsia="en-US"/>
        </w:rPr>
        <w:t xml:space="preserve"> do magazynu</w:t>
      </w:r>
      <w:r>
        <w:rPr>
          <w:rFonts w:asciiTheme="minorHAnsi" w:eastAsiaTheme="minorHAnsi" w:hAnsiTheme="minorHAnsi" w:cstheme="minorBidi"/>
          <w:lang w:eastAsia="en-US"/>
        </w:rPr>
        <w:t xml:space="preserve">, </w:t>
      </w:r>
      <w:r w:rsidRPr="005F6483">
        <w:rPr>
          <w:rFonts w:asciiTheme="minorHAnsi" w:eastAsiaTheme="minorHAnsi" w:hAnsiTheme="minorHAnsi" w:cstheme="minorBidi"/>
          <w:lang w:eastAsia="en-US"/>
        </w:rPr>
        <w:t>wystawi</w:t>
      </w:r>
      <w:r>
        <w:rPr>
          <w:rFonts w:asciiTheme="minorHAnsi" w:eastAsiaTheme="minorHAnsi" w:hAnsiTheme="minorHAnsi" w:cstheme="minorBidi"/>
          <w:lang w:eastAsia="en-US"/>
        </w:rPr>
        <w:t xml:space="preserve">any </w:t>
      </w:r>
      <w:r w:rsidRPr="005F6483">
        <w:rPr>
          <w:rFonts w:asciiTheme="minorHAnsi" w:eastAsiaTheme="minorHAnsi" w:hAnsiTheme="minorHAnsi" w:cstheme="minorBidi"/>
          <w:lang w:eastAsia="en-US"/>
        </w:rPr>
        <w:t>na podstawie dokumentu potwierdzającego dostawę</w:t>
      </w:r>
      <w:r>
        <w:rPr>
          <w:rFonts w:asciiTheme="minorHAnsi" w:eastAsiaTheme="minorHAnsi" w:hAnsiTheme="minorHAnsi" w:cstheme="minorBidi"/>
          <w:lang w:eastAsia="en-US"/>
        </w:rPr>
        <w:t xml:space="preserve"> (</w:t>
      </w:r>
      <w:r w:rsidRPr="005F6483">
        <w:rPr>
          <w:rFonts w:asciiTheme="minorHAnsi" w:eastAsiaTheme="minorHAnsi" w:hAnsiTheme="minorHAnsi" w:cstheme="minorBidi"/>
          <w:lang w:eastAsia="en-US"/>
        </w:rPr>
        <w:t>zwykle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6" w:tooltip="Faktura (dokument)" w:history="1">
        <w:r w:rsidRPr="005F6483">
          <w:rPr>
            <w:rFonts w:asciiTheme="minorHAnsi" w:eastAsiaTheme="minorHAnsi" w:hAnsiTheme="minorHAnsi" w:cstheme="minorBidi"/>
            <w:lang w:eastAsia="en-US"/>
          </w:rPr>
          <w:t>faktury</w:t>
        </w:r>
      </w:hyperlink>
      <w:r w:rsidRPr="005F6483">
        <w:rPr>
          <w:rFonts w:asciiTheme="minorHAnsi" w:eastAsiaTheme="minorHAnsi" w:hAnsiTheme="minorHAnsi" w:cstheme="minorBidi"/>
          <w:lang w:eastAsia="en-US"/>
        </w:rPr>
        <w:t xml:space="preserve"> dokumentującej dokonanie zakupu</w:t>
      </w:r>
      <w:r>
        <w:rPr>
          <w:rFonts w:asciiTheme="minorHAnsi" w:eastAsiaTheme="minorHAnsi" w:hAnsiTheme="minorHAnsi" w:cstheme="minorBidi"/>
          <w:lang w:eastAsia="en-US"/>
        </w:rPr>
        <w:t>);</w:t>
      </w:r>
    </w:p>
    <w:p w:rsidR="00A87B62" w:rsidRDefault="00A87B62" w:rsidP="00A87B62">
      <w:pPr>
        <w:pStyle w:val="not4bbtext"/>
        <w:numPr>
          <w:ilvl w:val="0"/>
          <w:numId w:val="3"/>
        </w:numPr>
        <w:rPr>
          <w:rFonts w:asciiTheme="minorHAnsi" w:hAnsiTheme="minorHAnsi"/>
        </w:rPr>
      </w:pPr>
      <w:r w:rsidRPr="00F60B79">
        <w:rPr>
          <w:rFonts w:asciiTheme="minorHAnsi" w:hAnsiTheme="minorHAnsi"/>
          <w:b/>
        </w:rPr>
        <w:t>PZK</w:t>
      </w:r>
      <w:r>
        <w:rPr>
          <w:rFonts w:asciiTheme="minorHAnsi" w:hAnsiTheme="minorHAnsi"/>
        </w:rPr>
        <w:t xml:space="preserve"> – korekta przyjęcia zewnętrznego – dokument wystawiany w przypadku konieczności  korygowania ilości lub zwrotu towaru oraz błędnego przyjęcia, może być związany z korektą faktury zakupu;</w:t>
      </w:r>
    </w:p>
    <w:p w:rsidR="00A87B62" w:rsidRDefault="00A87B62" w:rsidP="00A87B62">
      <w:pPr>
        <w:pStyle w:val="not4bbtext"/>
        <w:numPr>
          <w:ilvl w:val="0"/>
          <w:numId w:val="3"/>
        </w:numPr>
        <w:rPr>
          <w:rFonts w:asciiTheme="minorHAnsi" w:hAnsiTheme="minorHAnsi"/>
        </w:rPr>
      </w:pPr>
      <w:r w:rsidRPr="00F60B79">
        <w:rPr>
          <w:rFonts w:asciiTheme="minorHAnsi" w:hAnsiTheme="minorHAnsi"/>
          <w:b/>
        </w:rPr>
        <w:t>MM</w:t>
      </w:r>
      <w:r>
        <w:rPr>
          <w:rFonts w:asciiTheme="minorHAnsi" w:hAnsiTheme="minorHAnsi"/>
        </w:rPr>
        <w:t xml:space="preserve"> – </w:t>
      </w:r>
      <w:r w:rsidRPr="00FD298A">
        <w:rPr>
          <w:rFonts w:asciiTheme="minorHAnsi" w:hAnsiTheme="minorHAnsi"/>
        </w:rPr>
        <w:t>przesunięcie międzymagazynowe</w:t>
      </w:r>
      <w:r>
        <w:rPr>
          <w:rFonts w:asciiTheme="minorHAnsi" w:hAnsiTheme="minorHAnsi"/>
        </w:rPr>
        <w:t xml:space="preserve"> –</w:t>
      </w:r>
      <w:r w:rsidRPr="00FD29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dokument </w:t>
      </w:r>
      <w:r w:rsidRPr="00FD298A">
        <w:rPr>
          <w:rFonts w:asciiTheme="minorHAnsi" w:hAnsiTheme="minorHAnsi"/>
        </w:rPr>
        <w:t xml:space="preserve">stosowany </w:t>
      </w:r>
      <w:r>
        <w:rPr>
          <w:rFonts w:asciiTheme="minorHAnsi" w:hAnsiTheme="minorHAnsi"/>
        </w:rPr>
        <w:t>w</w:t>
      </w:r>
      <w:r w:rsidRPr="00FD298A">
        <w:rPr>
          <w:rFonts w:asciiTheme="minorHAnsi" w:hAnsiTheme="minorHAnsi"/>
        </w:rPr>
        <w:t xml:space="preserve"> cel</w:t>
      </w:r>
      <w:r>
        <w:rPr>
          <w:rFonts w:asciiTheme="minorHAnsi" w:hAnsiTheme="minorHAnsi"/>
        </w:rPr>
        <w:t>u</w:t>
      </w:r>
      <w:r w:rsidRPr="00FD298A">
        <w:rPr>
          <w:rFonts w:asciiTheme="minorHAnsi" w:hAnsiTheme="minorHAnsi"/>
        </w:rPr>
        <w:t xml:space="preserve"> udokumentowania przemieszczenia towarów pomiędzy własnymi magazynami</w:t>
      </w:r>
      <w:r>
        <w:rPr>
          <w:rFonts w:asciiTheme="minorHAnsi" w:hAnsiTheme="minorHAnsi"/>
        </w:rPr>
        <w:t xml:space="preserve"> wynikającego</w:t>
      </w:r>
      <w:r w:rsidRPr="00FD29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nie </w:t>
      </w:r>
      <w:r w:rsidRPr="00FD298A">
        <w:rPr>
          <w:rFonts w:asciiTheme="minorHAnsi" w:hAnsiTheme="minorHAnsi"/>
        </w:rPr>
        <w:t>z faktu zakupu</w:t>
      </w:r>
      <w:r>
        <w:rPr>
          <w:rFonts w:asciiTheme="minorHAnsi" w:hAnsiTheme="minorHAnsi"/>
        </w:rPr>
        <w:t xml:space="preserve"> lub </w:t>
      </w:r>
      <w:r w:rsidRPr="00FD298A">
        <w:rPr>
          <w:rFonts w:asciiTheme="minorHAnsi" w:hAnsiTheme="minorHAnsi"/>
        </w:rPr>
        <w:t>sprzedaży</w:t>
      </w:r>
      <w:r>
        <w:rPr>
          <w:rFonts w:asciiTheme="minorHAnsi" w:hAnsiTheme="minorHAnsi"/>
        </w:rPr>
        <w:t>, lecz z organizacji magazynów;</w:t>
      </w:r>
    </w:p>
    <w:p w:rsidR="00A87B62" w:rsidRDefault="00A87B62" w:rsidP="00A87B62">
      <w:pPr>
        <w:pStyle w:val="not4bbtext"/>
        <w:numPr>
          <w:ilvl w:val="0"/>
          <w:numId w:val="3"/>
        </w:numPr>
        <w:rPr>
          <w:rFonts w:asciiTheme="minorHAnsi" w:hAnsiTheme="minorHAnsi"/>
        </w:rPr>
      </w:pPr>
      <w:r w:rsidRPr="00F60B79">
        <w:rPr>
          <w:rFonts w:asciiTheme="minorHAnsi" w:hAnsiTheme="minorHAnsi"/>
          <w:b/>
        </w:rPr>
        <w:t>PW</w:t>
      </w:r>
      <w:r w:rsidRPr="00D72C02">
        <w:rPr>
          <w:rFonts w:asciiTheme="minorHAnsi" w:hAnsiTheme="minorHAnsi"/>
        </w:rPr>
        <w:t xml:space="preserve"> – przyjęcie wewnętrzne</w:t>
      </w:r>
      <w:r>
        <w:rPr>
          <w:rFonts w:asciiTheme="minorHAnsi" w:hAnsiTheme="minorHAnsi"/>
        </w:rPr>
        <w:t xml:space="preserve"> –</w:t>
      </w:r>
      <w:r w:rsidRPr="00D72C02">
        <w:rPr>
          <w:rFonts w:asciiTheme="minorHAnsi" w:hAnsiTheme="minorHAnsi"/>
        </w:rPr>
        <w:t xml:space="preserve"> dokument umożliwiający obrót wewnątrz firmy, zwiększa</w:t>
      </w:r>
      <w:r>
        <w:rPr>
          <w:rFonts w:asciiTheme="minorHAnsi" w:hAnsiTheme="minorHAnsi"/>
        </w:rPr>
        <w:t>jący</w:t>
      </w:r>
      <w:r w:rsidRPr="00D72C02">
        <w:rPr>
          <w:rFonts w:asciiTheme="minorHAnsi" w:hAnsiTheme="minorHAnsi"/>
        </w:rPr>
        <w:t xml:space="preserve"> ilość towaru na stanie, niewymaga</w:t>
      </w:r>
      <w:r>
        <w:rPr>
          <w:rFonts w:asciiTheme="minorHAnsi" w:hAnsiTheme="minorHAnsi"/>
        </w:rPr>
        <w:t>jący</w:t>
      </w:r>
      <w:r w:rsidRPr="00D72C02">
        <w:rPr>
          <w:rFonts w:asciiTheme="minorHAnsi" w:hAnsiTheme="minorHAnsi"/>
        </w:rPr>
        <w:t xml:space="preserve"> podania kontrahenta, od którego pochodzi towar </w:t>
      </w:r>
      <w:r>
        <w:rPr>
          <w:rFonts w:asciiTheme="minorHAnsi" w:hAnsiTheme="minorHAnsi"/>
        </w:rPr>
        <w:t xml:space="preserve">(np. </w:t>
      </w:r>
      <w:r w:rsidRPr="00D72C02">
        <w:rPr>
          <w:rFonts w:asciiTheme="minorHAnsi" w:hAnsiTheme="minorHAnsi"/>
        </w:rPr>
        <w:t>wyprodukowany</w:t>
      </w:r>
      <w:r>
        <w:rPr>
          <w:rFonts w:asciiTheme="minorHAnsi" w:hAnsiTheme="minorHAnsi"/>
        </w:rPr>
        <w:t>);</w:t>
      </w:r>
      <w:r w:rsidRPr="00D72C02">
        <w:rPr>
          <w:rFonts w:asciiTheme="minorHAnsi" w:hAnsiTheme="minorHAnsi"/>
        </w:rPr>
        <w:t xml:space="preserve"> </w:t>
      </w:r>
    </w:p>
    <w:p w:rsidR="00A87B62" w:rsidRDefault="00A87B62" w:rsidP="00A87B62">
      <w:pPr>
        <w:pStyle w:val="not4bbtext"/>
        <w:numPr>
          <w:ilvl w:val="0"/>
          <w:numId w:val="3"/>
        </w:numPr>
        <w:rPr>
          <w:rFonts w:asciiTheme="minorHAnsi" w:hAnsiTheme="minorHAnsi"/>
        </w:rPr>
      </w:pPr>
      <w:r w:rsidRPr="00F60B79">
        <w:rPr>
          <w:rFonts w:asciiTheme="minorHAnsi" w:hAnsiTheme="minorHAnsi"/>
          <w:b/>
        </w:rPr>
        <w:t>PWK</w:t>
      </w:r>
      <w:r>
        <w:rPr>
          <w:rFonts w:asciiTheme="minorHAnsi" w:hAnsiTheme="minorHAnsi"/>
        </w:rPr>
        <w:t xml:space="preserve"> – korekta przyjęcia wewnętrznego;</w:t>
      </w:r>
    </w:p>
    <w:p w:rsidR="00A87B62" w:rsidRDefault="00A87B62" w:rsidP="00A87B62">
      <w:pPr>
        <w:pStyle w:val="not4bbtext"/>
        <w:numPr>
          <w:ilvl w:val="0"/>
          <w:numId w:val="3"/>
        </w:numPr>
        <w:rPr>
          <w:rFonts w:asciiTheme="minorHAnsi" w:hAnsiTheme="minorHAnsi"/>
        </w:rPr>
      </w:pPr>
      <w:r w:rsidRPr="00F60B79">
        <w:rPr>
          <w:rFonts w:asciiTheme="minorHAnsi" w:hAnsiTheme="minorHAnsi"/>
          <w:b/>
        </w:rPr>
        <w:t>RW</w:t>
      </w:r>
      <w:r w:rsidRPr="00D72C02">
        <w:rPr>
          <w:rFonts w:asciiTheme="minorHAnsi" w:hAnsiTheme="minorHAnsi"/>
        </w:rPr>
        <w:t xml:space="preserve"> – rozchód wewnętrzny</w:t>
      </w:r>
      <w:r>
        <w:rPr>
          <w:rFonts w:asciiTheme="minorHAnsi" w:hAnsiTheme="minorHAnsi"/>
        </w:rPr>
        <w:t xml:space="preserve"> –</w:t>
      </w:r>
      <w:r w:rsidRPr="00D72C02">
        <w:rPr>
          <w:rFonts w:asciiTheme="minorHAnsi" w:hAnsiTheme="minorHAnsi"/>
        </w:rPr>
        <w:t xml:space="preserve"> dokument potwierdzający wydanie materiałów wewnątrz przedsiębiorstwa, a </w:t>
      </w:r>
      <w:r>
        <w:rPr>
          <w:rFonts w:asciiTheme="minorHAnsi" w:hAnsiTheme="minorHAnsi"/>
        </w:rPr>
        <w:t>więc głównie na własne potrzeby (np. dla serwisu);</w:t>
      </w:r>
    </w:p>
    <w:p w:rsidR="00A87B62" w:rsidRDefault="00A87B62" w:rsidP="00A87B62">
      <w:pPr>
        <w:pStyle w:val="not4bbtext"/>
        <w:numPr>
          <w:ilvl w:val="0"/>
          <w:numId w:val="3"/>
        </w:numPr>
        <w:rPr>
          <w:rFonts w:asciiTheme="minorHAnsi" w:hAnsiTheme="minorHAnsi"/>
        </w:rPr>
      </w:pPr>
      <w:r w:rsidRPr="00F60B79">
        <w:rPr>
          <w:rFonts w:asciiTheme="minorHAnsi" w:hAnsiTheme="minorHAnsi"/>
          <w:b/>
        </w:rPr>
        <w:t>RWK lub ZW</w:t>
      </w:r>
      <w:r>
        <w:rPr>
          <w:rFonts w:asciiTheme="minorHAnsi" w:hAnsiTheme="minorHAnsi"/>
        </w:rPr>
        <w:t xml:space="preserve"> – korekta wydania wewnętrznego związana ze zwrotem towaru do magazynu i ponownym wprowadzeniem go na stan;</w:t>
      </w:r>
    </w:p>
    <w:p w:rsidR="00A87B62" w:rsidRDefault="00A87B62" w:rsidP="00A87B62">
      <w:pPr>
        <w:pStyle w:val="not4bbtext"/>
        <w:numPr>
          <w:ilvl w:val="0"/>
          <w:numId w:val="3"/>
        </w:numPr>
        <w:rPr>
          <w:rFonts w:asciiTheme="minorHAnsi" w:hAnsiTheme="minorHAnsi"/>
        </w:rPr>
      </w:pPr>
      <w:r w:rsidRPr="00F60B79">
        <w:rPr>
          <w:rFonts w:asciiTheme="minorHAnsi" w:hAnsiTheme="minorHAnsi"/>
          <w:b/>
        </w:rPr>
        <w:t>WZ</w:t>
      </w:r>
      <w:r w:rsidRPr="00FC658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– </w:t>
      </w:r>
      <w:r w:rsidRPr="00FC6586">
        <w:rPr>
          <w:rStyle w:val="Uwydatnienie"/>
          <w:rFonts w:asciiTheme="minorHAnsi" w:hAnsiTheme="minorHAnsi"/>
        </w:rPr>
        <w:t>wydanie zewnętrzne</w:t>
      </w:r>
      <w:r>
        <w:rPr>
          <w:rStyle w:val="Uwydatnienie"/>
          <w:rFonts w:asciiTheme="minorHAnsi" w:hAnsiTheme="minorHAnsi"/>
        </w:rPr>
        <w:t xml:space="preserve"> –</w:t>
      </w:r>
      <w:r w:rsidRPr="00FC6586">
        <w:rPr>
          <w:rFonts w:asciiTheme="minorHAnsi" w:hAnsiTheme="minorHAnsi"/>
        </w:rPr>
        <w:t xml:space="preserve"> dokument</w:t>
      </w:r>
      <w:r>
        <w:rPr>
          <w:rFonts w:asciiTheme="minorHAnsi" w:hAnsiTheme="minorHAnsi"/>
        </w:rPr>
        <w:t xml:space="preserve"> potwierdzający</w:t>
      </w:r>
      <w:r w:rsidRPr="00FC6586">
        <w:rPr>
          <w:rFonts w:asciiTheme="minorHAnsi" w:hAnsiTheme="minorHAnsi"/>
        </w:rPr>
        <w:t xml:space="preserve"> wydanie towarów z magazynu na zewnątrz, np. na rzecz kontrahenta</w:t>
      </w:r>
      <w:r>
        <w:rPr>
          <w:rFonts w:asciiTheme="minorHAnsi" w:hAnsiTheme="minorHAnsi"/>
        </w:rPr>
        <w:t xml:space="preserve"> (w</w:t>
      </w:r>
      <w:r w:rsidRPr="00FC6586">
        <w:rPr>
          <w:rFonts w:asciiTheme="minorHAnsi" w:hAnsiTheme="minorHAnsi"/>
        </w:rPr>
        <w:t xml:space="preserve"> wielu przypadkach</w:t>
      </w:r>
      <w:r>
        <w:rPr>
          <w:rFonts w:asciiTheme="minorHAnsi" w:hAnsiTheme="minorHAnsi"/>
        </w:rPr>
        <w:t>, np.</w:t>
      </w:r>
      <w:r w:rsidRPr="00FC6586">
        <w:rPr>
          <w:rFonts w:asciiTheme="minorHAnsi" w:hAnsiTheme="minorHAnsi"/>
        </w:rPr>
        <w:t xml:space="preserve"> brak</w:t>
      </w:r>
      <w:r>
        <w:rPr>
          <w:rFonts w:asciiTheme="minorHAnsi" w:hAnsiTheme="minorHAnsi"/>
        </w:rPr>
        <w:t>u</w:t>
      </w:r>
      <w:r w:rsidRPr="00FC6586">
        <w:rPr>
          <w:rFonts w:asciiTheme="minorHAnsi" w:hAnsiTheme="minorHAnsi"/>
        </w:rPr>
        <w:t xml:space="preserve"> możliwości wystawienia w </w:t>
      </w:r>
      <w:r>
        <w:rPr>
          <w:rFonts w:asciiTheme="minorHAnsi" w:hAnsiTheme="minorHAnsi"/>
        </w:rPr>
        <w:t>dan</w:t>
      </w:r>
      <w:r w:rsidRPr="00FC6586">
        <w:rPr>
          <w:rFonts w:asciiTheme="minorHAnsi" w:hAnsiTheme="minorHAnsi"/>
        </w:rPr>
        <w:t>ym momencie faktury</w:t>
      </w:r>
      <w:r>
        <w:rPr>
          <w:rFonts w:asciiTheme="minorHAnsi" w:hAnsiTheme="minorHAnsi"/>
        </w:rPr>
        <w:t>,</w:t>
      </w:r>
      <w:r w:rsidRPr="00FC6586">
        <w:rPr>
          <w:rFonts w:asciiTheme="minorHAnsi" w:hAnsiTheme="minorHAnsi"/>
        </w:rPr>
        <w:t xml:space="preserve"> sprzedaż dokumentowana jest najpierw  dokumentem WZ,</w:t>
      </w:r>
      <w:r>
        <w:rPr>
          <w:rFonts w:asciiTheme="minorHAnsi" w:hAnsiTheme="minorHAnsi"/>
        </w:rPr>
        <w:t xml:space="preserve"> </w:t>
      </w:r>
      <w:r w:rsidRPr="00FC6586">
        <w:rPr>
          <w:rFonts w:asciiTheme="minorHAnsi" w:hAnsiTheme="minorHAnsi"/>
        </w:rPr>
        <w:t xml:space="preserve">a następnie na jego podstawie </w:t>
      </w:r>
      <w:r>
        <w:rPr>
          <w:rFonts w:asciiTheme="minorHAnsi" w:hAnsiTheme="minorHAnsi"/>
        </w:rPr>
        <w:t xml:space="preserve">zostaje </w:t>
      </w:r>
      <w:r w:rsidRPr="00FC6586">
        <w:rPr>
          <w:rFonts w:asciiTheme="minorHAnsi" w:hAnsiTheme="minorHAnsi"/>
        </w:rPr>
        <w:t>wystawi</w:t>
      </w:r>
      <w:r>
        <w:rPr>
          <w:rFonts w:asciiTheme="minorHAnsi" w:hAnsiTheme="minorHAnsi"/>
        </w:rPr>
        <w:t>o</w:t>
      </w:r>
      <w:r w:rsidRPr="00FC6586">
        <w:rPr>
          <w:rFonts w:asciiTheme="minorHAnsi" w:hAnsiTheme="minorHAnsi"/>
        </w:rPr>
        <w:t>na</w:t>
      </w:r>
      <w:r>
        <w:rPr>
          <w:rFonts w:asciiTheme="minorHAnsi" w:hAnsiTheme="minorHAnsi"/>
        </w:rPr>
        <w:t xml:space="preserve"> </w:t>
      </w:r>
      <w:r w:rsidRPr="00FC6586">
        <w:rPr>
          <w:rFonts w:asciiTheme="minorHAnsi" w:hAnsiTheme="minorHAnsi"/>
        </w:rPr>
        <w:t>faktura</w:t>
      </w:r>
      <w:r>
        <w:rPr>
          <w:rFonts w:asciiTheme="minorHAnsi" w:hAnsiTheme="minorHAnsi"/>
        </w:rPr>
        <w:t>);</w:t>
      </w:r>
      <w:r w:rsidRPr="00FC6586">
        <w:rPr>
          <w:rFonts w:asciiTheme="minorHAnsi" w:hAnsiTheme="minorHAnsi"/>
        </w:rPr>
        <w:t xml:space="preserve"> </w:t>
      </w:r>
    </w:p>
    <w:p w:rsidR="00A87B62" w:rsidRDefault="00A87B62" w:rsidP="00A87B62">
      <w:pPr>
        <w:pStyle w:val="not4bbtext"/>
        <w:numPr>
          <w:ilvl w:val="0"/>
          <w:numId w:val="3"/>
        </w:numPr>
        <w:rPr>
          <w:rFonts w:asciiTheme="minorHAnsi" w:hAnsiTheme="minorHAnsi"/>
        </w:rPr>
      </w:pPr>
      <w:r w:rsidRPr="00F60B79">
        <w:rPr>
          <w:rFonts w:asciiTheme="minorHAnsi" w:hAnsiTheme="minorHAnsi"/>
          <w:b/>
        </w:rPr>
        <w:t>WZK</w:t>
      </w:r>
      <w:r>
        <w:rPr>
          <w:rFonts w:asciiTheme="minorHAnsi" w:hAnsiTheme="minorHAnsi"/>
        </w:rPr>
        <w:t xml:space="preserve"> – korekta wydania zewnętrznego związana ze zwrotem towaru. </w:t>
      </w:r>
    </w:p>
    <w:p w:rsidR="00A87B62" w:rsidRDefault="00A87B62" w:rsidP="00A87B62">
      <w:pPr>
        <w:pStyle w:val="not4bbtext"/>
        <w:rPr>
          <w:rFonts w:asciiTheme="minorHAnsi" w:hAnsiTheme="minorHAnsi"/>
        </w:rPr>
      </w:pPr>
      <w:r>
        <w:rPr>
          <w:rFonts w:asciiTheme="minorHAnsi" w:hAnsiTheme="minorHAnsi"/>
        </w:rPr>
        <w:tab/>
        <w:t>Prowadzenie prawidłowej dokumentacji obrotu magazynowego pozwala uniknąć bałaganu w magazynie oraz wystąpienia niedoborów i nadwyżek towarów.</w:t>
      </w:r>
    </w:p>
    <w:p w:rsidR="00A87B62" w:rsidRDefault="00A87B62" w:rsidP="00A87B62">
      <w:pPr>
        <w:pStyle w:val="not4bbtext"/>
        <w:rPr>
          <w:rFonts w:asciiTheme="minorHAnsi" w:hAnsiTheme="minorHAnsi"/>
        </w:rPr>
      </w:pPr>
      <w:r>
        <w:rPr>
          <w:rFonts w:asciiTheme="minorHAnsi" w:hAnsiTheme="minorHAnsi"/>
        </w:rPr>
        <w:t>Poniższy schemat pokazuje wykorzystanie  dokumentów magazynowych w odniesieniu do magazynu M1 i M2. W omawianym przykładzie oba magazyny należą do tej samej firmy ale są wirtualnie wydzielone. M1 jest magazynem dla serwisu, M2 dla klientów zewnętrznych. tym.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806"/>
        <w:gridCol w:w="881"/>
        <w:gridCol w:w="806"/>
        <w:gridCol w:w="6"/>
        <w:gridCol w:w="1637"/>
        <w:gridCol w:w="807"/>
        <w:gridCol w:w="883"/>
        <w:gridCol w:w="807"/>
        <w:gridCol w:w="12"/>
        <w:gridCol w:w="1457"/>
      </w:tblGrid>
      <w:tr w:rsidR="00A87B62" w:rsidTr="001F2EF9">
        <w:trPr>
          <w:trHeight w:val="611"/>
        </w:trPr>
        <w:tc>
          <w:tcPr>
            <w:tcW w:w="961" w:type="dxa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Faktura zakupu</w:t>
            </w:r>
          </w:p>
        </w:tc>
        <w:tc>
          <w:tcPr>
            <w:tcW w:w="841" w:type="dxa"/>
            <w:vMerge w:val="restart"/>
            <w:tcBorders>
              <w:top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93" w:type="dxa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PZ </w:t>
            </w:r>
          </w:p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PZK</w:t>
            </w:r>
          </w:p>
        </w:tc>
        <w:tc>
          <w:tcPr>
            <w:tcW w:w="841" w:type="dxa"/>
            <w:vMerge w:val="restart"/>
            <w:tcBorders>
              <w:top w:val="nil"/>
              <w:tl2br w:val="single" w:sz="4" w:space="0" w:color="auto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M1</w:t>
            </w:r>
          </w:p>
        </w:tc>
        <w:tc>
          <w:tcPr>
            <w:tcW w:w="842" w:type="dxa"/>
            <w:vMerge w:val="restart"/>
            <w:tcBorders>
              <w:top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95" w:type="dxa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RW</w:t>
            </w:r>
          </w:p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RWK</w:t>
            </w:r>
          </w:p>
        </w:tc>
        <w:tc>
          <w:tcPr>
            <w:tcW w:w="842" w:type="dxa"/>
            <w:tcBorders>
              <w:top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469" w:type="dxa"/>
            <w:gridSpan w:val="2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Faktura sprzedaży usług serwisowych</w:t>
            </w:r>
          </w:p>
        </w:tc>
      </w:tr>
      <w:tr w:rsidR="00A87B62" w:rsidTr="001F2EF9">
        <w:trPr>
          <w:trHeight w:val="564"/>
        </w:trPr>
        <w:tc>
          <w:tcPr>
            <w:tcW w:w="961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1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93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1" w:type="dxa"/>
            <w:vMerge/>
            <w:tcBorders>
              <w:tl2br w:val="single" w:sz="4" w:space="0" w:color="auto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704" w:type="dxa"/>
            <w:gridSpan w:val="2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2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95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469" w:type="dxa"/>
            <w:gridSpan w:val="2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</w:tr>
      <w:tr w:rsidR="00A87B62" w:rsidTr="001F2EF9">
        <w:trPr>
          <w:trHeight w:val="323"/>
        </w:trPr>
        <w:tc>
          <w:tcPr>
            <w:tcW w:w="961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1" w:type="dxa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93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1" w:type="dxa"/>
            <w:vMerge/>
            <w:tcBorders>
              <w:tl2br w:val="single" w:sz="4" w:space="0" w:color="auto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704" w:type="dxa"/>
            <w:gridSpan w:val="2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2" w:type="dxa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95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469" w:type="dxa"/>
            <w:gridSpan w:val="2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Koszty działu</w:t>
            </w:r>
          </w:p>
        </w:tc>
      </w:tr>
      <w:tr w:rsidR="00A87B62" w:rsidTr="001F2EF9">
        <w:trPr>
          <w:trHeight w:val="253"/>
        </w:trPr>
        <w:tc>
          <w:tcPr>
            <w:tcW w:w="961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1" w:type="dxa"/>
            <w:vMerge/>
            <w:tcBorders>
              <w:bottom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93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1" w:type="dxa"/>
            <w:vMerge/>
            <w:tcBorders>
              <w:bottom w:val="nil"/>
              <w:tl2br w:val="single" w:sz="4" w:space="0" w:color="auto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704" w:type="dxa"/>
            <w:gridSpan w:val="2"/>
            <w:vMerge/>
            <w:tcBorders>
              <w:bottom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2" w:type="dxa"/>
            <w:vMerge/>
            <w:tcBorders>
              <w:bottom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95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469" w:type="dxa"/>
            <w:gridSpan w:val="2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</w:tr>
      <w:tr w:rsidR="00A87B62" w:rsidTr="001F2EF9">
        <w:trPr>
          <w:gridBefore w:val="2"/>
          <w:gridAfter w:val="5"/>
          <w:wBefore w:w="1802" w:type="dxa"/>
          <w:wAfter w:w="4048" w:type="dxa"/>
          <w:trHeight w:val="100"/>
        </w:trPr>
        <w:tc>
          <w:tcPr>
            <w:tcW w:w="1734" w:type="dxa"/>
            <w:gridSpan w:val="2"/>
            <w:vMerge w:val="restart"/>
            <w:tcBorders>
              <w:top w:val="nil"/>
              <w:left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wave" w:sz="6" w:space="0" w:color="auto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</w:tr>
      <w:tr w:rsidR="00A87B62" w:rsidTr="001F2EF9">
        <w:trPr>
          <w:gridBefore w:val="2"/>
          <w:gridAfter w:val="5"/>
          <w:wBefore w:w="1802" w:type="dxa"/>
          <w:wAfter w:w="4048" w:type="dxa"/>
          <w:trHeight w:val="188"/>
        </w:trPr>
        <w:tc>
          <w:tcPr>
            <w:tcW w:w="1734" w:type="dxa"/>
            <w:gridSpan w:val="2"/>
            <w:vMerge/>
            <w:tcBorders>
              <w:left w:val="nil"/>
              <w:bottom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704" w:type="dxa"/>
            <w:gridSpan w:val="2"/>
            <w:tcBorders>
              <w:top w:val="wave" w:sz="6" w:space="0" w:color="auto"/>
              <w:left w:val="nil"/>
              <w:bottom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MM</w:t>
            </w:r>
          </w:p>
        </w:tc>
      </w:tr>
      <w:tr w:rsidR="00A87B62" w:rsidTr="001F2EF9">
        <w:trPr>
          <w:gridBefore w:val="2"/>
          <w:wBefore w:w="1802" w:type="dxa"/>
          <w:trHeight w:val="495"/>
        </w:trPr>
        <w:tc>
          <w:tcPr>
            <w:tcW w:w="893" w:type="dxa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PW</w:t>
            </w:r>
          </w:p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PWK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tr2bl w:val="single" w:sz="4" w:space="0" w:color="auto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698" w:type="dxa"/>
            <w:vMerge w:val="restart"/>
            <w:tcBorders>
              <w:top w:val="wave" w:sz="6" w:space="0" w:color="auto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M2</w:t>
            </w:r>
          </w:p>
        </w:tc>
        <w:tc>
          <w:tcPr>
            <w:tcW w:w="842" w:type="dxa"/>
            <w:tcBorders>
              <w:top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95" w:type="dxa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WZ</w:t>
            </w:r>
          </w:p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WZK</w:t>
            </w:r>
          </w:p>
        </w:tc>
        <w:tc>
          <w:tcPr>
            <w:tcW w:w="854" w:type="dxa"/>
            <w:gridSpan w:val="2"/>
            <w:tcBorders>
              <w:top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457" w:type="dxa"/>
            <w:vMerge w:val="restart"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Faktura sprzedaży</w:t>
            </w:r>
          </w:p>
        </w:tc>
      </w:tr>
      <w:tr w:rsidR="00A87B62" w:rsidTr="001F2EF9">
        <w:trPr>
          <w:gridBefore w:val="2"/>
          <w:wBefore w:w="1802" w:type="dxa"/>
          <w:trHeight w:val="380"/>
        </w:trPr>
        <w:tc>
          <w:tcPr>
            <w:tcW w:w="893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7" w:type="dxa"/>
            <w:gridSpan w:val="2"/>
            <w:vMerge/>
            <w:tcBorders>
              <w:bottom w:val="nil"/>
              <w:tr2bl w:val="single" w:sz="4" w:space="0" w:color="auto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698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95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  <w:tc>
          <w:tcPr>
            <w:tcW w:w="1457" w:type="dxa"/>
            <w:vMerge/>
          </w:tcPr>
          <w:p w:rsidR="00A87B62" w:rsidRDefault="00A87B62" w:rsidP="001F2EF9">
            <w:pPr>
              <w:pStyle w:val="not4bbtext"/>
              <w:rPr>
                <w:rFonts w:asciiTheme="minorHAnsi" w:hAnsiTheme="minorHAnsi"/>
              </w:rPr>
            </w:pPr>
          </w:p>
        </w:tc>
      </w:tr>
    </w:tbl>
    <w:p w:rsidR="00A87B62" w:rsidRDefault="00A87B62" w:rsidP="00A87B62">
      <w:pPr>
        <w:pStyle w:val="not4bbtext"/>
        <w:rPr>
          <w:rFonts w:asciiTheme="minorHAnsi" w:hAnsiTheme="minorHAnsi"/>
        </w:rPr>
      </w:pPr>
    </w:p>
    <w:p w:rsidR="00A87B62" w:rsidRPr="00F40238" w:rsidRDefault="00A87B62" w:rsidP="00A87B62">
      <w:pPr>
        <w:pStyle w:val="not4bbtext"/>
        <w:rPr>
          <w:rFonts w:asciiTheme="minorHAnsi" w:hAnsiTheme="minorHAnsi"/>
          <w:sz w:val="22"/>
          <w:szCs w:val="22"/>
        </w:rPr>
      </w:pPr>
      <w:r w:rsidRPr="00F40238">
        <w:rPr>
          <w:rFonts w:asciiTheme="minorHAnsi" w:hAnsiTheme="minorHAnsi"/>
          <w:b/>
          <w:sz w:val="22"/>
          <w:szCs w:val="22"/>
        </w:rPr>
        <w:lastRenderedPageBreak/>
        <w:t>Rys. 3.2</w:t>
      </w:r>
      <w:r w:rsidRPr="00F40238">
        <w:rPr>
          <w:rFonts w:asciiTheme="minorHAnsi" w:hAnsiTheme="minorHAnsi"/>
          <w:sz w:val="22"/>
          <w:szCs w:val="22"/>
        </w:rPr>
        <w:t xml:space="preserve"> Obieg dokumentów magazynowych</w:t>
      </w:r>
    </w:p>
    <w:p w:rsidR="00A87B62" w:rsidRPr="00F60B79" w:rsidRDefault="00A87B62" w:rsidP="00A87B62">
      <w:pPr>
        <w:pStyle w:val="not4bbtext"/>
        <w:rPr>
          <w:rFonts w:asciiTheme="minorHAnsi" w:hAnsiTheme="minorHAnsi"/>
          <w:vanish/>
          <w:specVanish/>
        </w:rPr>
      </w:pPr>
    </w:p>
    <w:p w:rsidR="00A87B62" w:rsidRPr="00F60B79" w:rsidRDefault="00A87B62" w:rsidP="00A87B62">
      <w:pPr>
        <w:pStyle w:val="not4bbtext"/>
        <w:rPr>
          <w:rFonts w:asciiTheme="minorHAnsi" w:hAnsiTheme="minorHAnsi"/>
          <w:b/>
          <w:vanish/>
          <w:specVanish/>
        </w:rPr>
      </w:pPr>
      <w:r>
        <w:rPr>
          <w:rFonts w:asciiTheme="minorHAnsi" w:hAnsiTheme="minorHAnsi"/>
          <w:b/>
        </w:rPr>
        <w:t xml:space="preserve"> </w:t>
      </w:r>
    </w:p>
    <w:p w:rsidR="00A87B62" w:rsidRDefault="00A87B62" w:rsidP="00A87B62">
      <w:pPr>
        <w:pStyle w:val="not4bbtext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Pr="00F60B79">
        <w:rPr>
          <w:rFonts w:asciiTheme="minorHAnsi" w:hAnsiTheme="minorHAnsi"/>
        </w:rPr>
        <w:t xml:space="preserve">Żeby </w:t>
      </w:r>
      <w:r>
        <w:rPr>
          <w:rFonts w:asciiTheme="minorHAnsi" w:hAnsiTheme="minorHAnsi"/>
        </w:rPr>
        <w:t xml:space="preserve">przenieść wirtualnie towar z jednego magazynu do drugiego wypełniamy dokument MM. </w:t>
      </w:r>
    </w:p>
    <w:p w:rsidR="00A87B62" w:rsidRDefault="00A87B62" w:rsidP="00A87B62">
      <w:pPr>
        <w:pStyle w:val="not4bbtext"/>
        <w:rPr>
          <w:rFonts w:asciiTheme="minorHAnsi" w:hAnsiTheme="minorHAnsi"/>
        </w:rPr>
      </w:pPr>
      <w:r>
        <w:rPr>
          <w:rFonts w:asciiTheme="minorHAnsi" w:hAnsiTheme="minorHAnsi"/>
        </w:rPr>
        <w:t>Prześledźmy przykład pokazujący do czego służą dokumenty magazynowe.</w:t>
      </w:r>
    </w:p>
    <w:p w:rsidR="00A87B62" w:rsidRDefault="00A87B62" w:rsidP="00A87B62">
      <w:pPr>
        <w:pStyle w:val="not4bbtext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magazynu M1 przyszła dostawa opon i faktura zakupu tych opon. </w:t>
      </w:r>
    </w:p>
    <w:p w:rsidR="00A87B62" w:rsidRDefault="00A87B62" w:rsidP="00A87B62">
      <w:pPr>
        <w:pStyle w:val="not4bbtext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Pracownik magazynu musi wprowadzić na stan magazynu (do kartoteki magazynowej) te opony-wypełnia dokument PZ. Opony są  już formalnie w magazynie. </w:t>
      </w:r>
    </w:p>
    <w:p w:rsidR="00A87B62" w:rsidRDefault="00A87B62" w:rsidP="00A87B62">
      <w:pPr>
        <w:pStyle w:val="not4bbtext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Mechanik chce zamontować w samochodzie klienta opony – pobiera je z magazynu dokumentem RW. Opony „schodzą” z kartoteki magazynowej a „przenoszą” się na zlecenie.</w:t>
      </w:r>
    </w:p>
    <w:p w:rsidR="00A87B62" w:rsidRDefault="00A87B62" w:rsidP="00A87B62">
      <w:pPr>
        <w:pStyle w:val="not4bbtext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Klient zapłaci za opony na fakturze za całą usługę.</w:t>
      </w:r>
    </w:p>
    <w:p w:rsidR="00A87B62" w:rsidRDefault="00A87B62" w:rsidP="00A87B62">
      <w:pPr>
        <w:pStyle w:val="not4bbtext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Klient „zewnętrzny”,  który chce tylko kupić opony (bez montażu) – pracownik magazynu wystawia dokument WZ – opony schodzą z kartoteki magazynowej a wchodzą na fakturę sprzedaży. Klient płaci za nie  zgodnie z fakturą. Gdyby opon nie było w magazynie M2 – pracownik najpierw wystawi dokument MM przesuwający je z magazynu M1 – wprowadzi je do magazynu M2 i dopiero wystawi dokument WZ.</w:t>
      </w:r>
    </w:p>
    <w:p w:rsidR="00A87B62" w:rsidRDefault="00A87B62" w:rsidP="00A87B62">
      <w:pPr>
        <w:pStyle w:val="not4bbtext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Jeżeli pracownik sprzedający opony chciałby dać klientowi breloczek firmowy w celu nawiązania dobrych kontaktów musi wystawić dokument RW którym ten breloczek zejdzie ze stanu magazynu i opisać ten dokument jako koszty magazynu – marketing.</w:t>
      </w:r>
    </w:p>
    <w:p w:rsidR="00A87B62" w:rsidRDefault="00A87B62" w:rsidP="00A87B62">
      <w:pPr>
        <w:pStyle w:val="not4bbtext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firma dostarczająca do serwisu opony jako gratis dała jeden komplet opon – (dla dobrego klienta – nie ma ich na fakturze) to żeby wprowadzić je na stan magazynu pracownik magazynu wystawia dokument PW. </w:t>
      </w:r>
    </w:p>
    <w:p w:rsidR="00A87B62" w:rsidRDefault="00A87B62" w:rsidP="00A87B62">
      <w:pPr>
        <w:pStyle w:val="not4bbtext"/>
        <w:spacing w:before="0" w:beforeAutospacing="0" w:after="0" w:afterAutospacing="0"/>
        <w:rPr>
          <w:rFonts w:asciiTheme="minorHAnsi" w:hAnsiTheme="minorHAnsi"/>
        </w:rPr>
      </w:pPr>
    </w:p>
    <w:p w:rsidR="00A87B62" w:rsidRDefault="00A87B62" w:rsidP="00A87B62">
      <w:pPr>
        <w:pStyle w:val="not4bbtext"/>
        <w:rPr>
          <w:rFonts w:asciiTheme="minorHAnsi" w:hAnsiTheme="minorHAnsi"/>
        </w:rPr>
      </w:pPr>
    </w:p>
    <w:p w:rsidR="00A87B62" w:rsidRDefault="00A87B62" w:rsidP="00A87B62">
      <w:pPr>
        <w:autoSpaceDE w:val="0"/>
        <w:autoSpaceDN w:val="0"/>
        <w:adjustRightInd w:val="0"/>
        <w:spacing w:before="240" w:after="0" w:line="240" w:lineRule="auto"/>
        <w:rPr>
          <w:rFonts w:cs="TrebuchetMS-Bold"/>
          <w:b/>
          <w:bCs/>
          <w:color w:val="000000"/>
          <w:sz w:val="24"/>
          <w:szCs w:val="24"/>
        </w:rPr>
      </w:pPr>
      <w:r>
        <w:rPr>
          <w:rFonts w:cs="TrebuchetMS-Bold"/>
          <w:b/>
          <w:bCs/>
          <w:color w:val="000000"/>
          <w:sz w:val="24"/>
          <w:szCs w:val="24"/>
        </w:rPr>
        <w:t>LOKALIZACJA TOWARU</w:t>
      </w:r>
    </w:p>
    <w:p w:rsidR="00A87B62" w:rsidRDefault="00A87B62" w:rsidP="00A87B62">
      <w:pPr>
        <w:autoSpaceDE w:val="0"/>
        <w:autoSpaceDN w:val="0"/>
        <w:adjustRightInd w:val="0"/>
        <w:spacing w:before="240" w:after="0" w:line="240" w:lineRule="auto"/>
        <w:rPr>
          <w:rFonts w:cs="TrebuchetMS-Bold"/>
          <w:bCs/>
          <w:color w:val="000000"/>
          <w:sz w:val="24"/>
          <w:szCs w:val="24"/>
        </w:rPr>
      </w:pPr>
      <w:r>
        <w:rPr>
          <w:rFonts w:cs="TrebuchetMS-Bold"/>
          <w:bCs/>
          <w:color w:val="000000"/>
          <w:sz w:val="24"/>
          <w:szCs w:val="24"/>
        </w:rPr>
        <w:tab/>
        <w:t xml:space="preserve">W małych magazynach odnalezienie jakiejś części nie stanowi problemu, natomiast w magazynach liczących kilka tysięcy pozycji musi istnieć system układania towaru umożliwiający szybkie znalezienie danej pozycji. Najprostszy </w:t>
      </w:r>
      <w:r w:rsidRPr="00F03389">
        <w:rPr>
          <w:rFonts w:cs="TrebuchetMS-Bold"/>
          <w:b/>
          <w:bCs/>
          <w:color w:val="000000"/>
          <w:sz w:val="24"/>
          <w:szCs w:val="24"/>
        </w:rPr>
        <w:t>system lokalizacji towarów</w:t>
      </w:r>
      <w:r>
        <w:rPr>
          <w:rFonts w:cs="TrebuchetMS-Bold"/>
          <w:bCs/>
          <w:color w:val="000000"/>
          <w:sz w:val="24"/>
          <w:szCs w:val="24"/>
        </w:rPr>
        <w:t xml:space="preserve"> polega na oznakowaniu regałów i półek odpowiednimi symbolami np. literami i cyframi. Do kartoteki w systemie komputerowym wpisuje się zakodowany w ten sposób numer części, otrzymując informację o jej lokalizacji. Warunkiem jest widoczne umieszczenie oznakowania regałów i półek. </w:t>
      </w:r>
    </w:p>
    <w:p w:rsidR="00A87B62" w:rsidRDefault="00A87B62" w:rsidP="00A87B62">
      <w:pPr>
        <w:autoSpaceDE w:val="0"/>
        <w:autoSpaceDN w:val="0"/>
        <w:adjustRightInd w:val="0"/>
        <w:spacing w:before="240" w:after="0" w:line="240" w:lineRule="auto"/>
        <w:rPr>
          <w:rFonts w:cs="TrebuchetMS-Bold"/>
          <w:b/>
          <w:bCs/>
          <w:color w:val="000000"/>
          <w:sz w:val="24"/>
          <w:szCs w:val="24"/>
        </w:rPr>
      </w:pPr>
    </w:p>
    <w:p w:rsidR="00A87B62" w:rsidRDefault="00A87B62" w:rsidP="00A87B62">
      <w:pPr>
        <w:autoSpaceDE w:val="0"/>
        <w:autoSpaceDN w:val="0"/>
        <w:adjustRightInd w:val="0"/>
        <w:spacing w:after="0" w:line="240" w:lineRule="auto"/>
        <w:rPr>
          <w:rFonts w:cs="Tahoma-Bold"/>
          <w:bCs/>
          <w:sz w:val="24"/>
          <w:szCs w:val="24"/>
        </w:rPr>
      </w:pPr>
      <w:r>
        <w:rPr>
          <w:rFonts w:cs="Tahoma-Bold"/>
          <w:bCs/>
          <w:sz w:val="24"/>
          <w:szCs w:val="24"/>
        </w:rPr>
        <w:t xml:space="preserve">Ze względu na różnorodność części zamiennych i wiele odmian ich wykonania rozróżnianie ich tylko według nazwy stanowiłoby duży problem. Dlatego są stosowane </w:t>
      </w:r>
      <w:r w:rsidRPr="00950CA2">
        <w:rPr>
          <w:rFonts w:cs="Tahoma-Bold"/>
          <w:b/>
          <w:bCs/>
          <w:sz w:val="24"/>
          <w:szCs w:val="24"/>
        </w:rPr>
        <w:t>numery katalogowe części</w:t>
      </w:r>
      <w:r>
        <w:rPr>
          <w:rFonts w:cs="Tahoma-Bold"/>
          <w:bCs/>
          <w:sz w:val="24"/>
          <w:szCs w:val="24"/>
        </w:rPr>
        <w:t xml:space="preserve">. Numer katalogowy nadaje zazwyczaj producent, a w magazynie numeracja ta zostaje zachowana. Jeżeli w magazynie są przechowywane towary pochodzące od wielu producentów, można posługiwać się również własnym systemem numeracji części zamiennych. Istotne jest jedynie, aby jednemu numerowi była zawsze przyporządkowana ta sama część. </w:t>
      </w:r>
    </w:p>
    <w:p w:rsidR="00A87B62" w:rsidRDefault="00A87B62" w:rsidP="00A87B62">
      <w:pPr>
        <w:autoSpaceDE w:val="0"/>
        <w:autoSpaceDN w:val="0"/>
        <w:adjustRightInd w:val="0"/>
        <w:spacing w:after="0" w:line="240" w:lineRule="auto"/>
        <w:rPr>
          <w:rFonts w:cs="Tahoma-Bold"/>
          <w:bCs/>
          <w:sz w:val="24"/>
          <w:szCs w:val="24"/>
        </w:rPr>
      </w:pPr>
      <w:r>
        <w:rPr>
          <w:rFonts w:cs="Tahoma-Bold"/>
          <w:bCs/>
          <w:sz w:val="24"/>
          <w:szCs w:val="24"/>
        </w:rPr>
        <w:tab/>
        <w:t>Przykładowe oznaczenia części:</w:t>
      </w:r>
    </w:p>
    <w:p w:rsidR="00A87B62" w:rsidRDefault="00A87B62" w:rsidP="00A87B62">
      <w:pPr>
        <w:autoSpaceDE w:val="0"/>
        <w:autoSpaceDN w:val="0"/>
        <w:adjustRightInd w:val="0"/>
        <w:spacing w:after="0" w:line="240" w:lineRule="auto"/>
        <w:rPr>
          <w:rFonts w:cs="Tahoma-Bold"/>
          <w:bCs/>
          <w:sz w:val="24"/>
          <w:szCs w:val="24"/>
        </w:rPr>
      </w:pPr>
      <w:r>
        <w:rPr>
          <w:rFonts w:cs="Tahoma-Bold"/>
          <w:bCs/>
          <w:sz w:val="24"/>
          <w:szCs w:val="24"/>
        </w:rPr>
        <w:t>461</w:t>
      </w:r>
      <w:r w:rsidRPr="001A777D">
        <w:rPr>
          <w:rFonts w:cs="Tahoma-Bold"/>
          <w:bCs/>
          <w:sz w:val="24"/>
          <w:szCs w:val="24"/>
        </w:rPr>
        <w:t>4210012</w:t>
      </w:r>
      <w:r>
        <w:rPr>
          <w:rFonts w:cs="Tahoma-Bold"/>
          <w:bCs/>
          <w:sz w:val="24"/>
          <w:szCs w:val="24"/>
        </w:rPr>
        <w:tab/>
      </w:r>
      <w:r>
        <w:rPr>
          <w:rFonts w:cs="Tahoma-Bold"/>
          <w:bCs/>
          <w:sz w:val="24"/>
          <w:szCs w:val="24"/>
        </w:rPr>
        <w:tab/>
      </w:r>
      <w:r w:rsidRPr="001A777D">
        <w:rPr>
          <w:rFonts w:cs="Tahoma-Bold"/>
          <w:bCs/>
          <w:sz w:val="24"/>
          <w:szCs w:val="24"/>
        </w:rPr>
        <w:t xml:space="preserve"> – tarcza hamulcowa do </w:t>
      </w:r>
      <w:r>
        <w:rPr>
          <w:rFonts w:cs="Tahoma-Bold"/>
          <w:bCs/>
          <w:sz w:val="24"/>
          <w:szCs w:val="24"/>
        </w:rPr>
        <w:t>samochodu Mercedes-Benz klasy G</w:t>
      </w:r>
    </w:p>
    <w:p w:rsidR="00A87B62" w:rsidRDefault="00A87B62" w:rsidP="00A87B62">
      <w:pPr>
        <w:autoSpaceDE w:val="0"/>
        <w:autoSpaceDN w:val="0"/>
        <w:adjustRightInd w:val="0"/>
        <w:spacing w:after="0" w:line="240" w:lineRule="auto"/>
        <w:rPr>
          <w:rFonts w:cs="Tahoma-Bold"/>
          <w:bCs/>
          <w:sz w:val="24"/>
          <w:szCs w:val="24"/>
        </w:rPr>
      </w:pPr>
      <w:r>
        <w:rPr>
          <w:rFonts w:cs="Tahoma-Bold"/>
          <w:bCs/>
          <w:sz w:val="24"/>
          <w:szCs w:val="24"/>
        </w:rPr>
        <w:lastRenderedPageBreak/>
        <w:t xml:space="preserve">03D198819A </w:t>
      </w:r>
      <w:r>
        <w:rPr>
          <w:rFonts w:cs="Tahoma-Bold"/>
          <w:bCs/>
          <w:sz w:val="24"/>
          <w:szCs w:val="24"/>
        </w:rPr>
        <w:tab/>
      </w:r>
      <w:r>
        <w:rPr>
          <w:rFonts w:cs="Tahoma-Bold"/>
          <w:bCs/>
          <w:sz w:val="24"/>
          <w:szCs w:val="24"/>
        </w:rPr>
        <w:tab/>
        <w:t>–  filtr oleju do samochodu Seat Ibiza</w:t>
      </w:r>
    </w:p>
    <w:p w:rsidR="00A87B62" w:rsidRDefault="00A87B62" w:rsidP="00A87B6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7EB1">
        <w:rPr>
          <w:sz w:val="24"/>
          <w:szCs w:val="24"/>
        </w:rPr>
        <w:t xml:space="preserve">3M5Q-8A615-BA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rFonts w:cs="Tahoma-Bold"/>
          <w:bCs/>
          <w:sz w:val="24"/>
          <w:szCs w:val="24"/>
        </w:rPr>
        <w:t>–</w:t>
      </w:r>
      <w:r>
        <w:rPr>
          <w:sz w:val="24"/>
          <w:szCs w:val="24"/>
        </w:rPr>
        <w:t xml:space="preserve">  z</w:t>
      </w:r>
      <w:r w:rsidRPr="00C87EB1">
        <w:rPr>
          <w:sz w:val="24"/>
          <w:szCs w:val="24"/>
        </w:rPr>
        <w:t xml:space="preserve">estaw do naprawy rozrządu </w:t>
      </w:r>
      <w:r>
        <w:rPr>
          <w:sz w:val="24"/>
          <w:szCs w:val="24"/>
        </w:rPr>
        <w:t xml:space="preserve">do samochodu </w:t>
      </w:r>
      <w:r w:rsidRPr="00C87EB1">
        <w:rPr>
          <w:sz w:val="24"/>
          <w:szCs w:val="24"/>
        </w:rPr>
        <w:t xml:space="preserve">Ford </w:t>
      </w:r>
      <w:r>
        <w:rPr>
          <w:sz w:val="24"/>
          <w:szCs w:val="24"/>
        </w:rPr>
        <w:t xml:space="preserve">z </w:t>
      </w:r>
      <w:r w:rsidRPr="00C87EB1">
        <w:rPr>
          <w:sz w:val="24"/>
          <w:szCs w:val="24"/>
        </w:rPr>
        <w:t>silnik</w:t>
      </w:r>
      <w:r>
        <w:rPr>
          <w:sz w:val="24"/>
          <w:szCs w:val="24"/>
        </w:rPr>
        <w:t xml:space="preserve">iem </w:t>
      </w:r>
      <w:r w:rsidRPr="00C87EB1">
        <w:rPr>
          <w:sz w:val="24"/>
          <w:szCs w:val="24"/>
        </w:rPr>
        <w:t>2.0 TDC</w:t>
      </w:r>
      <w:r>
        <w:rPr>
          <w:sz w:val="24"/>
          <w:szCs w:val="24"/>
        </w:rPr>
        <w:t xml:space="preserve">I </w:t>
      </w:r>
    </w:p>
    <w:p w:rsidR="00A87B62" w:rsidRPr="00D47970" w:rsidRDefault="00A87B62" w:rsidP="00A87B62">
      <w:pPr>
        <w:autoSpaceDE w:val="0"/>
        <w:autoSpaceDN w:val="0"/>
        <w:adjustRightInd w:val="0"/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ab/>
      </w:r>
    </w:p>
    <w:p w:rsidR="00A87B62" w:rsidRDefault="00A87B62" w:rsidP="001A7134"/>
    <w:p w:rsidR="001A7134" w:rsidRDefault="001A7134" w:rsidP="001A7134">
      <w:r>
        <w:t>Zapoznaj się z załączonymi materiałami dotyczącymi funkcjonowania magazynu części zamiennych i materiałów.</w:t>
      </w:r>
    </w:p>
    <w:p w:rsidR="001A7134" w:rsidRDefault="001A7134" w:rsidP="001A7134">
      <w:pPr>
        <w:rPr>
          <w:b/>
          <w:sz w:val="28"/>
          <w:szCs w:val="28"/>
        </w:rPr>
      </w:pPr>
      <w:r w:rsidRPr="00A87B62">
        <w:rPr>
          <w:b/>
          <w:sz w:val="28"/>
          <w:szCs w:val="28"/>
        </w:rPr>
        <w:t xml:space="preserve">Wykonaj </w:t>
      </w:r>
      <w:r w:rsidR="0000190A" w:rsidRPr="00A87B62">
        <w:rPr>
          <w:b/>
          <w:sz w:val="28"/>
          <w:szCs w:val="28"/>
        </w:rPr>
        <w:t>„</w:t>
      </w:r>
      <w:r w:rsidRPr="00A87B62">
        <w:rPr>
          <w:b/>
          <w:sz w:val="28"/>
          <w:szCs w:val="28"/>
        </w:rPr>
        <w:t>ćwiczenie Kartoteka magazynowa</w:t>
      </w:r>
      <w:r w:rsidR="0000190A" w:rsidRPr="00A87B62">
        <w:rPr>
          <w:b/>
          <w:sz w:val="28"/>
          <w:szCs w:val="28"/>
        </w:rPr>
        <w:t>” wykorzystują</w:t>
      </w:r>
      <w:r w:rsidR="00A87B62" w:rsidRPr="00A87B62">
        <w:rPr>
          <w:b/>
          <w:sz w:val="28"/>
          <w:szCs w:val="28"/>
        </w:rPr>
        <w:t>c</w:t>
      </w:r>
      <w:r w:rsidR="0000190A" w:rsidRPr="00A87B62">
        <w:rPr>
          <w:b/>
          <w:sz w:val="28"/>
          <w:szCs w:val="28"/>
        </w:rPr>
        <w:t xml:space="preserve"> </w:t>
      </w:r>
      <w:r w:rsidR="00A87B62" w:rsidRPr="00A87B62">
        <w:rPr>
          <w:b/>
          <w:sz w:val="28"/>
          <w:szCs w:val="28"/>
        </w:rPr>
        <w:t xml:space="preserve">załączony plik </w:t>
      </w:r>
      <w:r w:rsidR="0000190A" w:rsidRPr="00A87B62">
        <w:rPr>
          <w:b/>
          <w:sz w:val="28"/>
          <w:szCs w:val="28"/>
        </w:rPr>
        <w:t>Kartotekę magazynową</w:t>
      </w:r>
      <w:r w:rsidR="00A87B62">
        <w:rPr>
          <w:b/>
          <w:sz w:val="28"/>
          <w:szCs w:val="28"/>
        </w:rPr>
        <w:t>.</w:t>
      </w:r>
    </w:p>
    <w:p w:rsidR="00A87B62" w:rsidRPr="00B853D9" w:rsidRDefault="00A87B62" w:rsidP="00A87B62">
      <w:pPr>
        <w:pStyle w:val="Default"/>
        <w:rPr>
          <w:rFonts w:asciiTheme="minorHAnsi" w:hAnsiTheme="minorHAnsi"/>
        </w:rPr>
      </w:pPr>
      <w:r w:rsidRPr="00B853D9">
        <w:rPr>
          <w:rFonts w:asciiTheme="minorHAnsi" w:hAnsiTheme="minorHAnsi"/>
        </w:rPr>
        <w:t>Rabat zmniejsza cenę danego produktu lub usługi. Jest narzędziem marketingowym przy</w:t>
      </w:r>
      <w:r w:rsidRPr="00B853D9">
        <w:rPr>
          <w:rFonts w:asciiTheme="minorHAnsi" w:hAnsiTheme="minorHAnsi"/>
        </w:rPr>
        <w:softHyphen/>
        <w:t xml:space="preserve">ciągającym klienta, ale jednocześnie zmniejsza przychody.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Oczywiście jest to znowu uproszczenie, ponieważ np. udzielenie rabatu i nawiązanie współpracy z flotą samochodów pomimo chwilowej straty może się okazać dobrą inwestycją i w przyszłości zaowocować zyskiem. Jeżeli tak było, świadczy to o świadomym planowaniu strategii. W przeciwnym razie udzielenie zbyt dużego rabatu było błędem, który może pogorszyć sytuację finansową firmy.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>Udzielając rabatu należy zawsze obliczyć czy jego wartość nie spowoduje obniżenia ceny poniżej kosztów.</w:t>
      </w:r>
    </w:p>
    <w:p w:rsidR="00A87B62" w:rsidRPr="00B853D9" w:rsidRDefault="00A87B62" w:rsidP="00A87B62">
      <w:pPr>
        <w:pStyle w:val="Default"/>
        <w:rPr>
          <w:rFonts w:asciiTheme="minorHAnsi" w:hAnsiTheme="minorHAnsi"/>
        </w:rPr>
      </w:pPr>
      <w:r w:rsidRPr="00B853D9">
        <w:rPr>
          <w:rFonts w:asciiTheme="minorHAnsi" w:hAnsiTheme="minorHAnsi"/>
        </w:rPr>
        <w:t>Np. magazyn kupił 4 opony po 100 zł netto każda.</w:t>
      </w:r>
    </w:p>
    <w:p w:rsidR="00A87B62" w:rsidRPr="00B853D9" w:rsidRDefault="00A87B62" w:rsidP="00A87B62">
      <w:pPr>
        <w:pStyle w:val="Default"/>
        <w:rPr>
          <w:rFonts w:asciiTheme="minorHAnsi" w:hAnsiTheme="minorHAnsi"/>
        </w:rPr>
      </w:pPr>
      <w:r w:rsidRPr="00B853D9">
        <w:rPr>
          <w:rFonts w:asciiTheme="minorHAnsi" w:hAnsiTheme="minorHAnsi"/>
        </w:rPr>
        <w:t xml:space="preserve">Koszt zakupu wyniósł 400 zł netto. </w:t>
      </w:r>
    </w:p>
    <w:p w:rsidR="00A87B62" w:rsidRPr="00B853D9" w:rsidRDefault="00A87B62" w:rsidP="00A87B62">
      <w:pPr>
        <w:pStyle w:val="Default"/>
        <w:rPr>
          <w:rFonts w:asciiTheme="minorHAnsi" w:hAnsiTheme="minorHAnsi"/>
        </w:rPr>
      </w:pPr>
      <w:r w:rsidRPr="00B853D9">
        <w:rPr>
          <w:rFonts w:asciiTheme="minorHAnsi" w:hAnsiTheme="minorHAnsi"/>
        </w:rPr>
        <w:t>Cena detaliczna (dla klienta ) wyniosła 120 zł za oponę netto. Razem 480 zł netto</w:t>
      </w:r>
    </w:p>
    <w:p w:rsidR="00A87B62" w:rsidRPr="00B853D9" w:rsidRDefault="00A87B62" w:rsidP="00A87B62">
      <w:pPr>
        <w:pStyle w:val="Default"/>
        <w:rPr>
          <w:rFonts w:asciiTheme="minorHAnsi" w:hAnsiTheme="minorHAnsi"/>
        </w:rPr>
      </w:pPr>
      <w:r w:rsidRPr="00B853D9">
        <w:rPr>
          <w:rFonts w:asciiTheme="minorHAnsi" w:hAnsiTheme="minorHAnsi"/>
        </w:rPr>
        <w:t>Przykłady:</w:t>
      </w:r>
    </w:p>
    <w:p w:rsidR="00A87B62" w:rsidRPr="00B853D9" w:rsidRDefault="00A87B62" w:rsidP="00A87B6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B853D9">
        <w:rPr>
          <w:rFonts w:asciiTheme="minorHAnsi" w:hAnsiTheme="minorHAnsi"/>
        </w:rPr>
        <w:t xml:space="preserve">Magazyn udzielił rabatu klientowi w wymiarze 20%. </w:t>
      </w:r>
    </w:p>
    <w:p w:rsidR="00A87B62" w:rsidRPr="00B853D9" w:rsidRDefault="00A87B62" w:rsidP="00A87B62">
      <w:pPr>
        <w:pStyle w:val="Default"/>
        <w:ind w:left="720"/>
        <w:rPr>
          <w:rFonts w:asciiTheme="minorHAnsi" w:hAnsiTheme="minorHAnsi"/>
        </w:rPr>
      </w:pPr>
      <w:r w:rsidRPr="00B853D9">
        <w:rPr>
          <w:rFonts w:asciiTheme="minorHAnsi" w:hAnsiTheme="minorHAnsi"/>
        </w:rPr>
        <w:t>Klient zapłacił 384 złote netto. Mniej niż zakup – koszty zakupu (bezpośrednie) wyniosły 400 zł. Magazyn stracił na tej transakcji w kwotach bezwzględnych.</w:t>
      </w:r>
    </w:p>
    <w:p w:rsidR="00A87B62" w:rsidRPr="00B853D9" w:rsidRDefault="00A87B62" w:rsidP="00A87B6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B853D9">
        <w:rPr>
          <w:rFonts w:asciiTheme="minorHAnsi" w:hAnsiTheme="minorHAnsi"/>
        </w:rPr>
        <w:t xml:space="preserve">Magazyn  w tym samym przypadku udzielił rabatu klientowi w wymiarze 15%. </w:t>
      </w:r>
    </w:p>
    <w:p w:rsidR="00A87B62" w:rsidRPr="00B853D9" w:rsidRDefault="00A87B62" w:rsidP="00A87B62">
      <w:pPr>
        <w:pStyle w:val="Default"/>
        <w:ind w:left="708"/>
        <w:rPr>
          <w:rFonts w:asciiTheme="minorHAnsi" w:hAnsiTheme="minorHAnsi"/>
        </w:rPr>
      </w:pPr>
      <w:r w:rsidRPr="00B853D9">
        <w:rPr>
          <w:rFonts w:asciiTheme="minorHAnsi" w:hAnsiTheme="minorHAnsi"/>
        </w:rPr>
        <w:t xml:space="preserve">Klient zapłacił 408 złotych netto. Więcej o 8 zł od ceny zakupu czyli kosztu bezpośredniego. Ale przecież magazyn ma również koszty pracowników, </w:t>
      </w:r>
      <w:proofErr w:type="spellStart"/>
      <w:r w:rsidRPr="00B853D9">
        <w:rPr>
          <w:rFonts w:asciiTheme="minorHAnsi" w:hAnsiTheme="minorHAnsi"/>
        </w:rPr>
        <w:t>internetu</w:t>
      </w:r>
      <w:proofErr w:type="spellEnd"/>
      <w:r w:rsidRPr="00B853D9">
        <w:rPr>
          <w:rFonts w:asciiTheme="minorHAnsi" w:hAnsiTheme="minorHAnsi"/>
        </w:rPr>
        <w:t xml:space="preserve">, oświetlenia, ogrzewania, księgowości, sprzątania, być może transportu….Te 8 zł może być zbyt mało na pokrycie tych wszystkich kosztów. </w:t>
      </w:r>
    </w:p>
    <w:p w:rsidR="00A87B62" w:rsidRPr="00B853D9" w:rsidRDefault="00A87B62" w:rsidP="00A87B62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B853D9">
        <w:rPr>
          <w:rFonts w:asciiTheme="minorHAnsi" w:hAnsiTheme="minorHAnsi"/>
        </w:rPr>
        <w:t>Magazyn w tym samym przypadku udzielił 10% rabatu. Klient zapłaci 432 złote. Magazyn zarobił w kwotach bezwzględnych 32 złote na tej transakcji. Taki rabat jest do zaakceptowania pod warunkiem, że w przyszłości przyniesie korzyści lub opony były z poprzedniego sezonu.</w:t>
      </w:r>
    </w:p>
    <w:p w:rsidR="00A87B62" w:rsidRPr="00B853D9" w:rsidRDefault="00A87B62" w:rsidP="00A87B62">
      <w:pPr>
        <w:pStyle w:val="Default"/>
        <w:ind w:left="360"/>
        <w:rPr>
          <w:rFonts w:asciiTheme="minorHAnsi" w:hAnsiTheme="minorHAnsi"/>
        </w:rPr>
      </w:pPr>
    </w:p>
    <w:p w:rsidR="00A87B62" w:rsidRPr="00B853D9" w:rsidRDefault="00A87B62" w:rsidP="00A87B62">
      <w:pPr>
        <w:pStyle w:val="Default"/>
        <w:ind w:left="360"/>
        <w:rPr>
          <w:rFonts w:asciiTheme="minorHAnsi" w:hAnsiTheme="minorHAnsi"/>
        </w:rPr>
      </w:pPr>
      <w:r w:rsidRPr="00B853D9">
        <w:rPr>
          <w:rFonts w:asciiTheme="minorHAnsi" w:hAnsiTheme="minorHAnsi"/>
        </w:rPr>
        <w:t>Rabat może być określany procentowo od ceny detalicznej lub kwotowo odejmowany od ceny detalicznej.</w:t>
      </w:r>
    </w:p>
    <w:p w:rsidR="00A87B62" w:rsidRPr="00B853D9" w:rsidRDefault="00A87B62" w:rsidP="00A87B62">
      <w:pPr>
        <w:pStyle w:val="Default"/>
        <w:rPr>
          <w:rFonts w:asciiTheme="minorHAnsi" w:hAnsiTheme="minorHAnsi"/>
        </w:rPr>
      </w:pPr>
    </w:p>
    <w:p w:rsidR="00A87B62" w:rsidRPr="00B853D9" w:rsidRDefault="00A87B62" w:rsidP="00A87B62">
      <w:pPr>
        <w:pStyle w:val="Default"/>
        <w:spacing w:line="211" w:lineRule="atLeast"/>
        <w:jc w:val="center"/>
        <w:rPr>
          <w:rFonts w:asciiTheme="minorHAnsi" w:hAnsiTheme="minorHAnsi"/>
        </w:rPr>
      </w:pPr>
      <w:r w:rsidRPr="00B853D9">
        <w:rPr>
          <w:rFonts w:asciiTheme="minorHAnsi" w:hAnsiTheme="minorHAnsi"/>
        </w:rPr>
        <w:t xml:space="preserve">* * *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W działalności gospodarczej występuje jeszcze jedno ważne pojęcie, którego używa się w celu określenia rentowności przedsiębiorstwa. Jest to </w:t>
      </w:r>
      <w:r w:rsidRPr="00B853D9">
        <w:rPr>
          <w:rFonts w:asciiTheme="minorHAnsi" w:hAnsiTheme="minorHAnsi" w:cs="Minion Pro"/>
          <w:b/>
          <w:bCs/>
          <w:color w:val="000000"/>
        </w:rPr>
        <w:t>marża</w:t>
      </w:r>
      <w:r w:rsidRPr="00B853D9">
        <w:rPr>
          <w:rFonts w:asciiTheme="minorHAnsi" w:hAnsiTheme="minorHAnsi" w:cs="Minion Pro"/>
          <w:color w:val="000000"/>
        </w:rPr>
        <w:t xml:space="preserve">. W zależności od tego, do jakich potrzeb jest obliczana, będzie ona miała nieco inną nazwę, np. marża brutto, marża netto, marża handlowa, marża pokrycia.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>W najprostszym ujęciu marża (</w:t>
      </w:r>
      <w:r w:rsidRPr="00B853D9">
        <w:rPr>
          <w:rFonts w:asciiTheme="minorHAnsi" w:hAnsiTheme="minorHAnsi" w:cs="Minion Pro"/>
          <w:i/>
          <w:iCs/>
          <w:color w:val="000000"/>
        </w:rPr>
        <w:t>M</w:t>
      </w:r>
      <w:r w:rsidRPr="00B853D9">
        <w:rPr>
          <w:rFonts w:asciiTheme="minorHAnsi" w:hAnsiTheme="minorHAnsi" w:cs="Minion Pro"/>
          <w:color w:val="000000"/>
        </w:rPr>
        <w:t xml:space="preserve">) jest różnicą między ceną sprzedaży i bezpośrednim kosztem produktu, czyli słuszne jest równanie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i/>
          <w:iCs/>
          <w:color w:val="000000"/>
        </w:rPr>
        <w:lastRenderedPageBreak/>
        <w:t xml:space="preserve">M </w:t>
      </w:r>
      <w:r w:rsidRPr="00B853D9">
        <w:rPr>
          <w:rFonts w:asciiTheme="minorHAnsi" w:hAnsiTheme="minorHAnsi" w:cs="Minion Pro"/>
          <w:color w:val="000000"/>
        </w:rPr>
        <w:t xml:space="preserve">= </w:t>
      </w:r>
      <w:r w:rsidRPr="00B853D9">
        <w:rPr>
          <w:rFonts w:asciiTheme="minorHAnsi" w:hAnsiTheme="minorHAnsi" w:cs="Minion Pro"/>
          <w:i/>
          <w:iCs/>
          <w:color w:val="000000"/>
        </w:rPr>
        <w:t>C</w:t>
      </w:r>
      <w:r w:rsidRPr="00B853D9">
        <w:rPr>
          <w:rStyle w:val="A13"/>
          <w:rFonts w:asciiTheme="minorHAnsi" w:hAnsiTheme="minorHAnsi"/>
        </w:rPr>
        <w:t xml:space="preserve">s </w:t>
      </w:r>
      <w:r w:rsidRPr="00B853D9">
        <w:rPr>
          <w:rFonts w:asciiTheme="minorHAnsi" w:hAnsiTheme="minorHAnsi" w:cs="Minion Pro"/>
          <w:color w:val="000000"/>
        </w:rPr>
        <w:t xml:space="preserve">– </w:t>
      </w:r>
      <w:proofErr w:type="spellStart"/>
      <w:r w:rsidRPr="00B853D9">
        <w:rPr>
          <w:rFonts w:asciiTheme="minorHAnsi" w:hAnsiTheme="minorHAnsi" w:cs="Minion Pro"/>
          <w:i/>
          <w:iCs/>
          <w:color w:val="000000"/>
        </w:rPr>
        <w:t>K</w:t>
      </w:r>
      <w:r w:rsidRPr="00B853D9">
        <w:rPr>
          <w:rStyle w:val="A13"/>
          <w:rFonts w:asciiTheme="minorHAnsi" w:hAnsiTheme="minorHAnsi"/>
        </w:rPr>
        <w:t>p</w:t>
      </w:r>
      <w:proofErr w:type="spellEnd"/>
      <w:r w:rsidRPr="00B853D9">
        <w:rPr>
          <w:rStyle w:val="A13"/>
          <w:rFonts w:asciiTheme="minorHAnsi" w:hAnsiTheme="minorHAnsi"/>
        </w:rPr>
        <w:t xml:space="preserve"> </w:t>
      </w:r>
    </w:p>
    <w:p w:rsidR="00A87B62" w:rsidRPr="00B853D9" w:rsidRDefault="00A87B62" w:rsidP="00A87B62">
      <w:pPr>
        <w:pStyle w:val="Pa14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gdzie: </w:t>
      </w:r>
    </w:p>
    <w:p w:rsidR="00A87B62" w:rsidRPr="00B853D9" w:rsidRDefault="00A87B62" w:rsidP="00A87B62">
      <w:pPr>
        <w:pStyle w:val="Pa14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i/>
          <w:iCs/>
          <w:color w:val="000000"/>
        </w:rPr>
        <w:t>C</w:t>
      </w:r>
      <w:r w:rsidRPr="00B853D9">
        <w:rPr>
          <w:rStyle w:val="A13"/>
          <w:rFonts w:asciiTheme="minorHAnsi" w:hAnsiTheme="minorHAnsi"/>
        </w:rPr>
        <w:t xml:space="preserve">s </w:t>
      </w:r>
      <w:r w:rsidRPr="00B853D9">
        <w:rPr>
          <w:rFonts w:asciiTheme="minorHAnsi" w:hAnsiTheme="minorHAnsi" w:cs="Minion Pro"/>
          <w:color w:val="000000"/>
        </w:rPr>
        <w:t xml:space="preserve">– cena sprzedaży, </w:t>
      </w:r>
    </w:p>
    <w:p w:rsidR="00A87B62" w:rsidRPr="00B853D9" w:rsidRDefault="00A87B62" w:rsidP="00A87B62">
      <w:pPr>
        <w:pStyle w:val="Pa14"/>
        <w:jc w:val="both"/>
        <w:rPr>
          <w:rFonts w:asciiTheme="minorHAnsi" w:hAnsiTheme="minorHAnsi" w:cs="Minion Pro"/>
          <w:color w:val="000000"/>
        </w:rPr>
      </w:pPr>
      <w:proofErr w:type="spellStart"/>
      <w:r w:rsidRPr="00B853D9">
        <w:rPr>
          <w:rFonts w:asciiTheme="minorHAnsi" w:hAnsiTheme="minorHAnsi" w:cs="Minion Pro"/>
          <w:i/>
          <w:iCs/>
          <w:color w:val="000000"/>
        </w:rPr>
        <w:t>K</w:t>
      </w:r>
      <w:r w:rsidRPr="00B853D9">
        <w:rPr>
          <w:rStyle w:val="A13"/>
          <w:rFonts w:asciiTheme="minorHAnsi" w:hAnsiTheme="minorHAnsi"/>
        </w:rPr>
        <w:t>p</w:t>
      </w:r>
      <w:proofErr w:type="spellEnd"/>
      <w:r w:rsidRPr="00B853D9">
        <w:rPr>
          <w:rStyle w:val="A13"/>
          <w:rFonts w:asciiTheme="minorHAnsi" w:hAnsiTheme="minorHAnsi"/>
        </w:rPr>
        <w:t xml:space="preserve"> </w:t>
      </w:r>
      <w:r w:rsidRPr="00B853D9">
        <w:rPr>
          <w:rFonts w:asciiTheme="minorHAnsi" w:hAnsiTheme="minorHAnsi" w:cs="Minion Pro"/>
          <w:color w:val="000000"/>
        </w:rPr>
        <w:t xml:space="preserve">– koszt produktu.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Marża może być wyrażana kwotowo (w złotych) lub procentowo. Najłatwiej można określić marżę w działalności handlowej. </w:t>
      </w:r>
    </w:p>
    <w:p w:rsidR="00A87B62" w:rsidRPr="00B853D9" w:rsidRDefault="00A87B62" w:rsidP="00A87B62">
      <w:pPr>
        <w:pStyle w:val="Pa19"/>
        <w:spacing w:before="160" w:after="80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b/>
          <w:bCs/>
          <w:color w:val="000000"/>
        </w:rPr>
        <w:t xml:space="preserve">Przykład </w:t>
      </w:r>
    </w:p>
    <w:p w:rsidR="00A87B62" w:rsidRPr="00B853D9" w:rsidRDefault="00A87B62" w:rsidP="00A87B62">
      <w:pPr>
        <w:pStyle w:val="Pa14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Rozważmy marżę na podstawie cen podanych poniżej.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Cena zakupu towaru – 80 zł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Cena sprzedaży towaru – 100 zł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Na podstawie podanych cen można wyznaczyć marże.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Marża kwotowa 100 – 80 = 20 zł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Marża procentowa odniesiona do ceny sprzedaży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[(100 – 80):100] × 100% = 20%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Marża procentowa odniesiona do ceny zakupu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[(100 – 80):80] × 100% = 25% </w:t>
      </w:r>
    </w:p>
    <w:p w:rsidR="00A87B62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 xml:space="preserve">W przypadku działalności produkcyjnej lub usługowej marżę obliczamy jako różnicę między ceną sprzedaży i bezpośrednim kosztem wytworzenia produktu lub usługi. </w:t>
      </w:r>
    </w:p>
    <w:p w:rsidR="00A87B62" w:rsidRPr="00B853D9" w:rsidRDefault="00A87B62" w:rsidP="00A87B62">
      <w:pPr>
        <w:pStyle w:val="Pa15"/>
        <w:ind w:firstLine="240"/>
        <w:jc w:val="both"/>
        <w:rPr>
          <w:rFonts w:asciiTheme="minorHAnsi" w:hAnsiTheme="minorHAnsi" w:cs="Minion Pro"/>
          <w:color w:val="000000"/>
        </w:rPr>
      </w:pPr>
      <w:r w:rsidRPr="00B853D9">
        <w:rPr>
          <w:rFonts w:asciiTheme="minorHAnsi" w:hAnsiTheme="minorHAnsi" w:cs="Minion Pro"/>
          <w:color w:val="000000"/>
        </w:rPr>
        <w:t>Obliczając marżę, bierzemy pod uwagę jedynie bezpośrednie koszty związane ze sprzedawanym lub produkowanym towarem albo oferowaną usługą. Dopiero z uzyska</w:t>
      </w:r>
      <w:r w:rsidRPr="00B853D9">
        <w:rPr>
          <w:rFonts w:asciiTheme="minorHAnsi" w:hAnsiTheme="minorHAnsi" w:cs="Minion Pro"/>
          <w:color w:val="000000"/>
        </w:rPr>
        <w:softHyphen/>
        <w:t xml:space="preserve">nej marży przedsiębiorstwo pokrywa koszty pośrednie związane z własną działalnością. </w:t>
      </w:r>
    </w:p>
    <w:p w:rsidR="00A87B62" w:rsidRPr="00B853D9" w:rsidRDefault="00A87B62" w:rsidP="00A87B62">
      <w:pPr>
        <w:pStyle w:val="Default"/>
        <w:rPr>
          <w:rFonts w:asciiTheme="minorHAnsi" w:hAnsiTheme="minorHAnsi"/>
        </w:rPr>
      </w:pPr>
      <w:r w:rsidRPr="00B853D9">
        <w:rPr>
          <w:rFonts w:asciiTheme="minorHAnsi" w:hAnsiTheme="minorHAnsi"/>
        </w:rPr>
        <w:t>Marża stanowi o zysku firmy.</w:t>
      </w:r>
    </w:p>
    <w:p w:rsidR="00A87B62" w:rsidRPr="00B853D9" w:rsidRDefault="00A87B62" w:rsidP="00A87B62">
      <w:pPr>
        <w:pStyle w:val="Default"/>
        <w:rPr>
          <w:rFonts w:asciiTheme="minorHAnsi" w:hAnsiTheme="minorHAnsi"/>
        </w:rPr>
      </w:pPr>
      <w:r w:rsidRPr="00B853D9">
        <w:rPr>
          <w:rFonts w:asciiTheme="minorHAnsi" w:hAnsiTheme="minorHAnsi"/>
        </w:rPr>
        <w:t>W procesie sprzedaży trzeba ustalić marżę. Zazwyczaj jest to procent od ceny zakupu. Jak zauważyliście w Kartotece magazynowej, którą przesyłałam  do poprzedniego ćwiczenia była cena zakupu i cena detaliczna. Marżę na dany towar ustala się w tym przypadku na etapie wprowadzania do magazynu dokumentem PZ.  Określenie marży na sprzedawane towary jest bardzo trudnym i ważnym etapem. Cena detaliczna nie może być zbyt wysoka – bo zniechęci klienta i zbyt niska bo nie pokryje kosztów i nie da zysku.  Można uważać, że powinno się dać dużą marżę i później dawać rabat. Taką politykę widać w dużych sklepach. Ale prowadzi ona do tego, że klient reaguje tylko na słowa sale, rabat wyprzedaż i przecena. A relacji pomiędzy rabatem ceną zakupu i marżą bardzo trzeba pilnować i na bieżąco liczyć.</w:t>
      </w:r>
    </w:p>
    <w:p w:rsidR="00A87B62" w:rsidRDefault="00A87B62" w:rsidP="00A87B62">
      <w:pPr>
        <w:pStyle w:val="Pa26"/>
        <w:spacing w:before="380" w:after="120"/>
        <w:rPr>
          <w:rFonts w:asciiTheme="minorHAnsi" w:hAnsiTheme="minorHAnsi" w:cs="Humnst777BlkEU"/>
          <w:bCs/>
          <w:color w:val="000000"/>
        </w:rPr>
      </w:pPr>
      <w:r w:rsidRPr="00B853D9">
        <w:rPr>
          <w:rFonts w:asciiTheme="minorHAnsi" w:hAnsiTheme="minorHAnsi" w:cs="Humnst777BlkEU"/>
          <w:b/>
          <w:bCs/>
          <w:color w:val="000000"/>
        </w:rPr>
        <w:t xml:space="preserve"> </w:t>
      </w:r>
      <w:r w:rsidRPr="00730CAD">
        <w:rPr>
          <w:rFonts w:asciiTheme="minorHAnsi" w:hAnsiTheme="minorHAnsi" w:cs="Humnst777BlkEU"/>
          <w:bCs/>
          <w:color w:val="000000"/>
        </w:rPr>
        <w:t xml:space="preserve">Proszę obliczyć jaka jest cena silnika do zapłacenia przez klienta (cena realizacji) netto i brutto  jeżeli: </w:t>
      </w:r>
    </w:p>
    <w:p w:rsidR="00A87B62" w:rsidRPr="00730CAD" w:rsidRDefault="00A87B62" w:rsidP="00A87B62">
      <w:pPr>
        <w:pStyle w:val="Pa26"/>
        <w:rPr>
          <w:rFonts w:asciiTheme="minorHAnsi" w:hAnsiTheme="minorHAnsi" w:cs="Humnst777BlkEU"/>
          <w:bCs/>
          <w:color w:val="000000"/>
        </w:rPr>
      </w:pPr>
      <w:r w:rsidRPr="00730CAD">
        <w:rPr>
          <w:rFonts w:asciiTheme="minorHAnsi" w:hAnsiTheme="minorHAnsi" w:cs="Humnst777BlkEU"/>
          <w:bCs/>
          <w:color w:val="000000"/>
        </w:rPr>
        <w:t xml:space="preserve">cena zakupu silnika to </w:t>
      </w:r>
      <w:r>
        <w:rPr>
          <w:rFonts w:asciiTheme="minorHAnsi" w:hAnsiTheme="minorHAnsi" w:cs="Humnst777BlkEU"/>
          <w:bCs/>
          <w:color w:val="000000"/>
        </w:rPr>
        <w:t>18 4</w:t>
      </w:r>
      <w:r w:rsidRPr="00730CAD">
        <w:rPr>
          <w:rFonts w:asciiTheme="minorHAnsi" w:hAnsiTheme="minorHAnsi" w:cs="Humnst777BlkEU"/>
          <w:bCs/>
          <w:color w:val="000000"/>
        </w:rPr>
        <w:t>00 zł netto</w:t>
      </w:r>
    </w:p>
    <w:p w:rsidR="00A87B62" w:rsidRDefault="00A87B62" w:rsidP="00A87B62">
      <w:pPr>
        <w:pStyle w:val="Default"/>
        <w:rPr>
          <w:rFonts w:asciiTheme="minorHAnsi" w:hAnsiTheme="minorHAnsi"/>
        </w:rPr>
      </w:pPr>
      <w:r w:rsidRPr="00730CAD">
        <w:rPr>
          <w:rFonts w:asciiTheme="minorHAnsi" w:hAnsiTheme="minorHAnsi"/>
        </w:rPr>
        <w:t>Marża wynosi 15%</w:t>
      </w:r>
    </w:p>
    <w:p w:rsidR="00A87B62" w:rsidRPr="00730CAD" w:rsidRDefault="00A87B62" w:rsidP="00A87B62">
      <w:pPr>
        <w:pStyle w:val="Default"/>
        <w:rPr>
          <w:rFonts w:asciiTheme="minorHAnsi" w:hAnsiTheme="minorHAnsi"/>
        </w:rPr>
      </w:pPr>
      <w:r w:rsidRPr="00730CAD">
        <w:rPr>
          <w:rFonts w:asciiTheme="minorHAnsi" w:hAnsiTheme="minorHAnsi"/>
        </w:rPr>
        <w:t xml:space="preserve">Rabat udzielony klientowi wynosi </w:t>
      </w:r>
      <w:r>
        <w:rPr>
          <w:rFonts w:asciiTheme="minorHAnsi" w:hAnsiTheme="minorHAnsi"/>
        </w:rPr>
        <w:t>5</w:t>
      </w:r>
      <w:r w:rsidRPr="00730CAD">
        <w:rPr>
          <w:rFonts w:asciiTheme="minorHAnsi" w:hAnsiTheme="minorHAnsi"/>
        </w:rPr>
        <w:t xml:space="preserve"> %</w:t>
      </w:r>
    </w:p>
    <w:p w:rsidR="00A87B62" w:rsidRDefault="00A87B62" w:rsidP="00A87B62">
      <w:pPr>
        <w:pStyle w:val="Default"/>
        <w:rPr>
          <w:rFonts w:asciiTheme="minorHAnsi" w:hAnsiTheme="minorHAnsi"/>
        </w:rPr>
      </w:pPr>
      <w:r w:rsidRPr="00730CAD">
        <w:rPr>
          <w:rFonts w:asciiTheme="minorHAnsi" w:hAnsiTheme="minorHAnsi"/>
        </w:rPr>
        <w:t>Podatek VAT wynosi 23%</w:t>
      </w:r>
      <w:r>
        <w:rPr>
          <w:rFonts w:asciiTheme="minorHAnsi" w:hAnsiTheme="minorHAnsi"/>
        </w:rPr>
        <w:t>.</w:t>
      </w:r>
    </w:p>
    <w:p w:rsidR="00A87B62" w:rsidRPr="00730CAD" w:rsidRDefault="00A87B62" w:rsidP="00A87B6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Obliczenia proszę wysłać do mnie </w:t>
      </w:r>
      <w:proofErr w:type="spellStart"/>
      <w:r>
        <w:rPr>
          <w:rFonts w:asciiTheme="minorHAnsi" w:hAnsiTheme="minorHAnsi"/>
        </w:rPr>
        <w:t>Vulcanem</w:t>
      </w:r>
      <w:proofErr w:type="spellEnd"/>
    </w:p>
    <w:p w:rsidR="00A87B62" w:rsidRDefault="00A87B62" w:rsidP="00A87B62"/>
    <w:p w:rsidR="00A87B62" w:rsidRPr="00A87B62" w:rsidRDefault="00A87B62" w:rsidP="001A7134">
      <w:pPr>
        <w:rPr>
          <w:b/>
        </w:rPr>
      </w:pPr>
    </w:p>
    <w:p w:rsidR="001A7134" w:rsidRDefault="001A7134" w:rsidP="001A7134"/>
    <w:sectPr w:rsidR="001A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nst777BlkEU">
    <w:altName w:val="Humnst777BlkE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080"/>
    <w:multiLevelType w:val="hybridMultilevel"/>
    <w:tmpl w:val="1D78E2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C7D38"/>
    <w:multiLevelType w:val="hybridMultilevel"/>
    <w:tmpl w:val="3ECC75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96BC5"/>
    <w:multiLevelType w:val="hybridMultilevel"/>
    <w:tmpl w:val="DB0E4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72EF7"/>
    <w:multiLevelType w:val="hybridMultilevel"/>
    <w:tmpl w:val="00B6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3C"/>
    <w:rsid w:val="0000190A"/>
    <w:rsid w:val="000B45AD"/>
    <w:rsid w:val="001A7134"/>
    <w:rsid w:val="00355C3C"/>
    <w:rsid w:val="00A87B62"/>
    <w:rsid w:val="00B52B89"/>
    <w:rsid w:val="00F3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D73D8-7F65-4D63-BFAD-C28302EA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87B62"/>
    <w:rPr>
      <w:i/>
      <w:iCs/>
    </w:rPr>
  </w:style>
  <w:style w:type="table" w:styleId="Tabela-Siatka">
    <w:name w:val="Table Grid"/>
    <w:basedOn w:val="Standardowy"/>
    <w:uiPriority w:val="59"/>
    <w:rsid w:val="00A8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4bbtext">
    <w:name w:val="not4bbtext"/>
    <w:basedOn w:val="Normalny"/>
    <w:rsid w:val="00A8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7B6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A87B62"/>
    <w:pPr>
      <w:spacing w:line="21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A87B62"/>
    <w:rPr>
      <w:rFonts w:cs="Minion Pro"/>
      <w:i/>
      <w:iCs/>
      <w:color w:val="000000"/>
      <w:sz w:val="12"/>
      <w:szCs w:val="12"/>
    </w:rPr>
  </w:style>
  <w:style w:type="paragraph" w:customStyle="1" w:styleId="Pa14">
    <w:name w:val="Pa14"/>
    <w:basedOn w:val="Default"/>
    <w:next w:val="Default"/>
    <w:uiPriority w:val="99"/>
    <w:rsid w:val="00A87B62"/>
    <w:pPr>
      <w:spacing w:line="21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A87B62"/>
    <w:pPr>
      <w:spacing w:line="21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A87B62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Faktura_%28dokument%29" TargetMode="External"/><Relationship Id="rId5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Jastrzębska</dc:creator>
  <cp:lastModifiedBy>Użytkownik</cp:lastModifiedBy>
  <cp:revision>2</cp:revision>
  <dcterms:created xsi:type="dcterms:W3CDTF">2020-11-19T16:46:00Z</dcterms:created>
  <dcterms:modified xsi:type="dcterms:W3CDTF">2020-11-19T16:46:00Z</dcterms:modified>
</cp:coreProperties>
</file>